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5BBD" w14:textId="6574889E" w:rsidR="007267EF" w:rsidRDefault="00EF3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C3179">
        <w:rPr>
          <w:rFonts w:ascii="Times New Roman" w:hAnsi="Times New Roman" w:cs="Times New Roman"/>
          <w:sz w:val="22"/>
          <w:szCs w:val="22"/>
        </w:rPr>
        <w:t>To:</w:t>
      </w:r>
      <w:r w:rsidR="001C3179">
        <w:rPr>
          <w:rFonts w:ascii="Times New Roman" w:hAnsi="Times New Roman" w:cs="Times New Roman"/>
          <w:sz w:val="22"/>
          <w:szCs w:val="22"/>
        </w:rPr>
        <w:tab/>
        <w:t>Chief Financial Officers</w:t>
      </w:r>
    </w:p>
    <w:p w14:paraId="0E7C4F9E" w14:textId="77777777" w:rsidR="001C3179" w:rsidRDefault="001C31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4CEA754" w14:textId="1D7BDFA0" w:rsidR="001C3179" w:rsidRDefault="001C31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From: </w:t>
      </w:r>
      <w:r>
        <w:rPr>
          <w:rFonts w:ascii="Times New Roman" w:hAnsi="Times New Roman" w:cs="Times New Roman"/>
          <w:sz w:val="22"/>
          <w:szCs w:val="22"/>
        </w:rPr>
        <w:tab/>
      </w:r>
      <w:r w:rsidR="00CD1B49">
        <w:rPr>
          <w:rFonts w:ascii="Times New Roman" w:hAnsi="Times New Roman" w:cs="Times New Roman"/>
          <w:sz w:val="22"/>
          <w:szCs w:val="22"/>
        </w:rPr>
        <w:t>Karen Teague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D1B49">
        <w:rPr>
          <w:rFonts w:ascii="Times New Roman" w:hAnsi="Times New Roman" w:cs="Times New Roman"/>
          <w:sz w:val="22"/>
          <w:szCs w:val="22"/>
        </w:rPr>
        <w:t xml:space="preserve">Associate </w:t>
      </w:r>
      <w:r w:rsidR="00D12322">
        <w:rPr>
          <w:rFonts w:ascii="Times New Roman" w:hAnsi="Times New Roman" w:cs="Times New Roman"/>
          <w:sz w:val="22"/>
          <w:szCs w:val="22"/>
        </w:rPr>
        <w:t>Director</w:t>
      </w:r>
      <w:r w:rsidR="00CD1B49">
        <w:rPr>
          <w:rFonts w:ascii="Times New Roman" w:hAnsi="Times New Roman" w:cs="Times New Roman"/>
          <w:sz w:val="22"/>
          <w:szCs w:val="22"/>
        </w:rPr>
        <w:t>,</w:t>
      </w:r>
      <w:r w:rsidR="00D12322">
        <w:rPr>
          <w:rFonts w:ascii="Times New Roman" w:hAnsi="Times New Roman" w:cs="Times New Roman"/>
          <w:sz w:val="22"/>
          <w:szCs w:val="22"/>
        </w:rPr>
        <w:t xml:space="preserve"> </w:t>
      </w:r>
      <w:r w:rsidR="00A607B4">
        <w:rPr>
          <w:rFonts w:ascii="Times New Roman" w:hAnsi="Times New Roman" w:cs="Times New Roman"/>
          <w:sz w:val="22"/>
          <w:szCs w:val="22"/>
        </w:rPr>
        <w:t>Medical Economics &amp; Data Analytics</w:t>
      </w:r>
    </w:p>
    <w:p w14:paraId="5D52378D" w14:textId="77777777" w:rsidR="00A607B4" w:rsidRDefault="00A607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97EC91" w14:textId="6D8AC93F" w:rsidR="00A607B4" w:rsidRDefault="00A607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Date: </w:t>
      </w:r>
      <w:r w:rsidR="00B93298">
        <w:rPr>
          <w:rFonts w:ascii="Times New Roman" w:hAnsi="Times New Roman" w:cs="Times New Roman"/>
          <w:sz w:val="22"/>
          <w:szCs w:val="22"/>
        </w:rPr>
        <w:tab/>
      </w:r>
      <w:r w:rsidR="00542D66">
        <w:rPr>
          <w:rFonts w:ascii="Times New Roman" w:hAnsi="Times New Roman" w:cs="Times New Roman"/>
          <w:sz w:val="22"/>
          <w:szCs w:val="22"/>
        </w:rPr>
        <w:t>January 31, 2024</w:t>
      </w:r>
    </w:p>
    <w:p w14:paraId="67D46241" w14:textId="77777777" w:rsidR="00B93298" w:rsidRDefault="00B93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DCE2D46" w14:textId="39C50B5C" w:rsidR="00B93298" w:rsidRDefault="00B93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Re: </w:t>
      </w:r>
      <w:r>
        <w:rPr>
          <w:rFonts w:ascii="Times New Roman" w:hAnsi="Times New Roman" w:cs="Times New Roman"/>
          <w:sz w:val="22"/>
          <w:szCs w:val="22"/>
        </w:rPr>
        <w:tab/>
      </w:r>
      <w:r w:rsidR="005116F6">
        <w:rPr>
          <w:rFonts w:ascii="Times New Roman" w:hAnsi="Times New Roman" w:cs="Times New Roman"/>
          <w:sz w:val="22"/>
          <w:szCs w:val="22"/>
        </w:rPr>
        <w:t xml:space="preserve">Upcoming </w:t>
      </w:r>
      <w:r>
        <w:rPr>
          <w:rFonts w:ascii="Times New Roman" w:hAnsi="Times New Roman" w:cs="Times New Roman"/>
          <w:sz w:val="22"/>
          <w:szCs w:val="22"/>
        </w:rPr>
        <w:t>Annual Filing Modernization</w:t>
      </w:r>
      <w:r w:rsidR="004D77FE">
        <w:rPr>
          <w:rFonts w:ascii="Times New Roman" w:hAnsi="Times New Roman" w:cs="Times New Roman"/>
          <w:sz w:val="22"/>
          <w:szCs w:val="22"/>
        </w:rPr>
        <w:t xml:space="preserve"> Feasibility Survey</w:t>
      </w:r>
      <w:r w:rsidR="005116F6">
        <w:rPr>
          <w:rFonts w:ascii="Times New Roman" w:hAnsi="Times New Roman" w:cs="Times New Roman"/>
          <w:sz w:val="22"/>
          <w:szCs w:val="22"/>
        </w:rPr>
        <w:t>s</w:t>
      </w:r>
    </w:p>
    <w:p w14:paraId="29BBA292" w14:textId="536ACEB5" w:rsidR="00B93298" w:rsidRDefault="00B93298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oftHyphen/>
      </w:r>
    </w:p>
    <w:p w14:paraId="285AD2E1" w14:textId="77777777" w:rsidR="00B93298" w:rsidRDefault="00B93298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3F75B1" w14:textId="3A2A260A" w:rsidR="00C43AF7" w:rsidRDefault="00917571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 described in the </w:t>
      </w:r>
      <w:hyperlink r:id="rId8" w:history="1">
        <w:r w:rsidRPr="00A65629">
          <w:rPr>
            <w:rStyle w:val="Hyperlink"/>
            <w:rFonts w:ascii="Times New Roman" w:hAnsi="Times New Roman" w:cs="Times New Roman"/>
            <w:sz w:val="22"/>
            <w:szCs w:val="22"/>
          </w:rPr>
          <w:t>memo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sent on November 30, 2023</w:t>
      </w:r>
      <w:r w:rsidR="00C2039E">
        <w:rPr>
          <w:rFonts w:ascii="Times New Roman" w:hAnsi="Times New Roman" w:cs="Times New Roman"/>
          <w:sz w:val="22"/>
          <w:szCs w:val="22"/>
        </w:rPr>
        <w:t xml:space="preserve">, the </w:t>
      </w:r>
      <w:r w:rsidR="00C43AF7">
        <w:rPr>
          <w:rFonts w:ascii="Times New Roman" w:hAnsi="Times New Roman" w:cs="Times New Roman"/>
          <w:sz w:val="22"/>
          <w:szCs w:val="22"/>
        </w:rPr>
        <w:t>HSCRC is undertaking a 3-year Annual Filing Modernization project to accomplish the following goals:</w:t>
      </w:r>
    </w:p>
    <w:p w14:paraId="6617A97B" w14:textId="34E9B35E" w:rsidR="00C43AF7" w:rsidRDefault="00C43AF7" w:rsidP="00C43AF7">
      <w:pPr>
        <w:pStyle w:val="ListParagraph"/>
        <w:widowControl w:val="0"/>
        <w:numPr>
          <w:ilvl w:val="0"/>
          <w:numId w:val="2"/>
        </w:numPr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Modernize policies and templates used for gathering data on provider costs, population health resources, and various cost centers.</w:t>
      </w:r>
    </w:p>
    <w:p w14:paraId="130C1140" w14:textId="1A773C33" w:rsidR="00C43AF7" w:rsidRDefault="00C43AF7" w:rsidP="00C43AF7">
      <w:pPr>
        <w:pStyle w:val="ListParagraph"/>
        <w:widowControl w:val="0"/>
        <w:numPr>
          <w:ilvl w:val="0"/>
          <w:numId w:val="2"/>
        </w:numPr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Revise the cost allocation framework to enable centralized application of consistent allocation algorithms across all Maryland hospitals.</w:t>
      </w:r>
    </w:p>
    <w:p w14:paraId="0E0876E3" w14:textId="46B425AA" w:rsidR="00C43AF7" w:rsidRDefault="00C43AF7" w:rsidP="00C43AF7">
      <w:pPr>
        <w:pStyle w:val="ListParagraph"/>
        <w:widowControl w:val="0"/>
        <w:numPr>
          <w:ilvl w:val="0"/>
          <w:numId w:val="2"/>
        </w:numPr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Perform a complete review and update of the Accounting and Budget Manual to reflect current policy and practice</w:t>
      </w:r>
      <w:r w:rsidR="00C028CC">
        <w:rPr>
          <w:rFonts w:ascii="Times New Roman" w:hAnsi="Times New Roman" w:cs="Times New Roman"/>
          <w:sz w:val="22"/>
          <w:szCs w:val="22"/>
        </w:rPr>
        <w:t xml:space="preserve"> and achieve greater user utility.</w:t>
      </w:r>
    </w:p>
    <w:p w14:paraId="44BF834A" w14:textId="7340D5A5" w:rsidR="00C028CC" w:rsidRDefault="00C028CC" w:rsidP="00C43AF7">
      <w:pPr>
        <w:pStyle w:val="ListParagraph"/>
        <w:widowControl w:val="0"/>
        <w:numPr>
          <w:ilvl w:val="0"/>
          <w:numId w:val="2"/>
        </w:numPr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Assemble a set of comprehensive web-based tools for Maryland hospitals to utilize in completing and submitting their future Annual Filings.</w:t>
      </w:r>
    </w:p>
    <w:p w14:paraId="559702B1" w14:textId="77777777" w:rsidR="00C028CC" w:rsidRDefault="00C028CC" w:rsidP="00C028CC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CC8F919" w14:textId="43BFDDA3" w:rsidR="00460DEB" w:rsidRDefault="005D2992" w:rsidP="00C028CC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HSCRC has designed a series of surveys </w:t>
      </w:r>
      <w:proofErr w:type="gramStart"/>
      <w:r>
        <w:rPr>
          <w:rFonts w:ascii="Times New Roman" w:hAnsi="Times New Roman" w:cs="Times New Roman"/>
          <w:sz w:val="22"/>
          <w:szCs w:val="22"/>
        </w:rPr>
        <w:t>in order 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understand current reporting structures and initial conceptual considerations for the revisions. </w:t>
      </w:r>
      <w:r w:rsidR="002D490F">
        <w:rPr>
          <w:rFonts w:ascii="Times New Roman" w:hAnsi="Times New Roman" w:cs="Times New Roman"/>
          <w:sz w:val="22"/>
          <w:szCs w:val="22"/>
        </w:rPr>
        <w:t>The goal of the surveys</w:t>
      </w:r>
      <w:r w:rsidR="00460DEB">
        <w:rPr>
          <w:rFonts w:ascii="Times New Roman" w:hAnsi="Times New Roman" w:cs="Times New Roman"/>
          <w:sz w:val="22"/>
          <w:szCs w:val="22"/>
        </w:rPr>
        <w:t xml:space="preserve"> </w:t>
      </w:r>
      <w:r w:rsidR="00326BEF">
        <w:rPr>
          <w:rFonts w:ascii="Times New Roman" w:hAnsi="Times New Roman" w:cs="Times New Roman"/>
          <w:sz w:val="22"/>
          <w:szCs w:val="22"/>
        </w:rPr>
        <w:t>is</w:t>
      </w:r>
      <w:r w:rsidR="00460DEB">
        <w:rPr>
          <w:rFonts w:ascii="Times New Roman" w:hAnsi="Times New Roman" w:cs="Times New Roman"/>
          <w:sz w:val="22"/>
          <w:szCs w:val="22"/>
        </w:rPr>
        <w:t xml:space="preserve"> to </w:t>
      </w:r>
      <w:r w:rsidR="00300436">
        <w:rPr>
          <w:rFonts w:ascii="Times New Roman" w:hAnsi="Times New Roman" w:cs="Times New Roman"/>
          <w:sz w:val="22"/>
          <w:szCs w:val="22"/>
        </w:rPr>
        <w:t xml:space="preserve">understand the </w:t>
      </w:r>
      <w:proofErr w:type="gramStart"/>
      <w:r w:rsidR="00300436">
        <w:rPr>
          <w:rFonts w:ascii="Times New Roman" w:hAnsi="Times New Roman" w:cs="Times New Roman"/>
          <w:sz w:val="22"/>
          <w:szCs w:val="22"/>
        </w:rPr>
        <w:t>current status</w:t>
      </w:r>
      <w:proofErr w:type="gramEnd"/>
      <w:r w:rsidR="00300436">
        <w:rPr>
          <w:rFonts w:ascii="Times New Roman" w:hAnsi="Times New Roman" w:cs="Times New Roman"/>
          <w:sz w:val="22"/>
          <w:szCs w:val="22"/>
        </w:rPr>
        <w:t xml:space="preserve"> of cost and revenue reporting focusing on </w:t>
      </w:r>
      <w:r w:rsidR="00C61338">
        <w:rPr>
          <w:rFonts w:ascii="Times New Roman" w:hAnsi="Times New Roman" w:cs="Times New Roman"/>
          <w:sz w:val="22"/>
          <w:szCs w:val="22"/>
        </w:rPr>
        <w:t>clinicians</w:t>
      </w:r>
      <w:r w:rsidR="00F2274D">
        <w:rPr>
          <w:rFonts w:ascii="Times New Roman" w:hAnsi="Times New Roman" w:cs="Times New Roman"/>
          <w:sz w:val="22"/>
          <w:szCs w:val="22"/>
        </w:rPr>
        <w:t>, overhead cost centers, allocation methods, and population health initiatives.</w:t>
      </w:r>
      <w:r w:rsidR="003004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A9F6AF" w14:textId="77777777" w:rsidR="00460DEB" w:rsidRDefault="00460DEB" w:rsidP="00C028CC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3C9DE35" w14:textId="320678FF" w:rsidR="00326BEF" w:rsidRDefault="00555F88" w:rsidP="00C028CC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861A6">
        <w:rPr>
          <w:rFonts w:ascii="Times New Roman" w:hAnsi="Times New Roman" w:cs="Times New Roman"/>
          <w:sz w:val="22"/>
          <w:szCs w:val="22"/>
        </w:rPr>
        <w:t xml:space="preserve">first survey will be sent to hospitals on </w:t>
      </w:r>
      <w:r w:rsidR="002861A6" w:rsidRPr="00C27C89">
        <w:rPr>
          <w:rFonts w:ascii="Times New Roman" w:hAnsi="Times New Roman" w:cs="Times New Roman"/>
          <w:b/>
          <w:bCs/>
          <w:sz w:val="22"/>
          <w:szCs w:val="22"/>
        </w:rPr>
        <w:t>February 8, 2024</w:t>
      </w:r>
      <w:r w:rsidR="002861A6">
        <w:rPr>
          <w:rFonts w:ascii="Times New Roman" w:hAnsi="Times New Roman" w:cs="Times New Roman"/>
          <w:sz w:val="22"/>
          <w:szCs w:val="22"/>
        </w:rPr>
        <w:t>.</w:t>
      </w:r>
      <w:r w:rsidR="00511A1A">
        <w:rPr>
          <w:rFonts w:ascii="Times New Roman" w:hAnsi="Times New Roman" w:cs="Times New Roman"/>
          <w:sz w:val="22"/>
          <w:szCs w:val="22"/>
        </w:rPr>
        <w:t xml:space="preserve"> </w:t>
      </w:r>
      <w:r w:rsidR="00C61338">
        <w:rPr>
          <w:rFonts w:ascii="Times New Roman" w:hAnsi="Times New Roman" w:cs="Times New Roman"/>
          <w:sz w:val="22"/>
          <w:szCs w:val="22"/>
        </w:rPr>
        <w:t xml:space="preserve">It will be specifically focused on </w:t>
      </w:r>
      <w:r w:rsidR="00A472D4">
        <w:rPr>
          <w:rFonts w:ascii="Times New Roman" w:hAnsi="Times New Roman" w:cs="Times New Roman"/>
          <w:sz w:val="22"/>
          <w:szCs w:val="22"/>
        </w:rPr>
        <w:t xml:space="preserve">providing a deeper understanding of the roles and arrangements of services by </w:t>
      </w:r>
      <w:r w:rsidR="00F0350A">
        <w:rPr>
          <w:rFonts w:ascii="Times New Roman" w:hAnsi="Times New Roman" w:cs="Times New Roman"/>
          <w:sz w:val="22"/>
          <w:szCs w:val="22"/>
        </w:rPr>
        <w:t>clinicians</w:t>
      </w:r>
      <w:r w:rsidR="00A472D4">
        <w:rPr>
          <w:rFonts w:ascii="Times New Roman" w:hAnsi="Times New Roman" w:cs="Times New Roman"/>
          <w:sz w:val="22"/>
          <w:szCs w:val="22"/>
        </w:rPr>
        <w:t xml:space="preserve"> </w:t>
      </w:r>
      <w:r w:rsidR="00F0350A">
        <w:rPr>
          <w:rFonts w:ascii="Times New Roman" w:hAnsi="Times New Roman" w:cs="Times New Roman"/>
          <w:sz w:val="22"/>
          <w:szCs w:val="22"/>
        </w:rPr>
        <w:t xml:space="preserve">and exploring how these roles influence the financial aspects of </w:t>
      </w:r>
      <w:r w:rsidR="00951D29">
        <w:rPr>
          <w:rFonts w:ascii="Times New Roman" w:hAnsi="Times New Roman" w:cs="Times New Roman"/>
          <w:sz w:val="22"/>
          <w:szCs w:val="22"/>
        </w:rPr>
        <w:t xml:space="preserve">hospitals. The results of this survey will be used </w:t>
      </w:r>
      <w:r w:rsidR="00AD1701">
        <w:rPr>
          <w:rFonts w:ascii="Times New Roman" w:hAnsi="Times New Roman" w:cs="Times New Roman"/>
          <w:sz w:val="22"/>
          <w:szCs w:val="22"/>
        </w:rPr>
        <w:t xml:space="preserve">in the creation of the </w:t>
      </w:r>
      <w:r w:rsidR="00042F99">
        <w:rPr>
          <w:rFonts w:ascii="Times New Roman" w:hAnsi="Times New Roman" w:cs="Times New Roman"/>
          <w:sz w:val="22"/>
          <w:szCs w:val="22"/>
        </w:rPr>
        <w:t xml:space="preserve">Annual Filing </w:t>
      </w:r>
      <w:r w:rsidR="00417AC4">
        <w:rPr>
          <w:rFonts w:ascii="Times New Roman" w:hAnsi="Times New Roman" w:cs="Times New Roman"/>
          <w:sz w:val="22"/>
          <w:szCs w:val="22"/>
        </w:rPr>
        <w:t>Physician</w:t>
      </w:r>
      <w:r w:rsidR="00B07271">
        <w:rPr>
          <w:rFonts w:ascii="Times New Roman" w:hAnsi="Times New Roman" w:cs="Times New Roman"/>
          <w:sz w:val="22"/>
          <w:szCs w:val="22"/>
        </w:rPr>
        <w:t xml:space="preserve"> Costs </w:t>
      </w:r>
      <w:r w:rsidR="00042F99">
        <w:rPr>
          <w:rFonts w:ascii="Times New Roman" w:hAnsi="Times New Roman" w:cs="Times New Roman"/>
          <w:sz w:val="22"/>
          <w:szCs w:val="22"/>
        </w:rPr>
        <w:t>Supplemental Schedule</w:t>
      </w:r>
      <w:r w:rsidR="007C2FF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92A28F" w14:textId="77777777" w:rsidR="00326BEF" w:rsidRDefault="00326BEF" w:rsidP="00C028CC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4232FF" w14:textId="2190F8A9" w:rsidR="007267EF" w:rsidRPr="001C3179" w:rsidRDefault="00511A1A" w:rsidP="00417AC4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Hospitals will have </w:t>
      </w:r>
      <w:r w:rsidR="003C25F6">
        <w:rPr>
          <w:rFonts w:ascii="Times New Roman" w:hAnsi="Times New Roman" w:cs="Times New Roman"/>
          <w:sz w:val="22"/>
          <w:szCs w:val="22"/>
        </w:rPr>
        <w:t xml:space="preserve">two weeks </w:t>
      </w:r>
      <w:r w:rsidR="00326BEF">
        <w:rPr>
          <w:rFonts w:ascii="Times New Roman" w:hAnsi="Times New Roman" w:cs="Times New Roman"/>
          <w:sz w:val="22"/>
          <w:szCs w:val="22"/>
        </w:rPr>
        <w:t xml:space="preserve">to respond to the survey to provide their feedback and input to the process. </w:t>
      </w:r>
      <w:r w:rsidR="003C25F6">
        <w:rPr>
          <w:rFonts w:ascii="Times New Roman" w:hAnsi="Times New Roman" w:cs="Times New Roman"/>
          <w:sz w:val="22"/>
          <w:szCs w:val="22"/>
        </w:rPr>
        <w:t>Survey responses will be due</w:t>
      </w:r>
      <w:r w:rsidR="00875276">
        <w:rPr>
          <w:rFonts w:ascii="Times New Roman" w:hAnsi="Times New Roman" w:cs="Times New Roman"/>
          <w:sz w:val="22"/>
          <w:szCs w:val="22"/>
        </w:rPr>
        <w:t xml:space="preserve"> on </w:t>
      </w:r>
      <w:r w:rsidR="00875276">
        <w:rPr>
          <w:rFonts w:ascii="Times New Roman" w:hAnsi="Times New Roman" w:cs="Times New Roman"/>
          <w:b/>
          <w:bCs/>
          <w:sz w:val="22"/>
          <w:szCs w:val="22"/>
        </w:rPr>
        <w:t>February 23, 2024</w:t>
      </w:r>
      <w:r w:rsidR="00875276" w:rsidRPr="00417AC4">
        <w:rPr>
          <w:rFonts w:ascii="Times New Roman" w:hAnsi="Times New Roman" w:cs="Times New Roman"/>
          <w:sz w:val="22"/>
          <w:szCs w:val="22"/>
        </w:rPr>
        <w:t>.</w:t>
      </w:r>
      <w:r w:rsidR="00875276">
        <w:rPr>
          <w:rFonts w:ascii="Times New Roman" w:hAnsi="Times New Roman" w:cs="Times New Roman"/>
          <w:sz w:val="22"/>
          <w:szCs w:val="22"/>
        </w:rPr>
        <w:t xml:space="preserve"> </w:t>
      </w:r>
      <w:r w:rsidR="001C7F8B">
        <w:rPr>
          <w:rFonts w:ascii="Times New Roman" w:hAnsi="Times New Roman" w:cs="Times New Roman"/>
          <w:sz w:val="22"/>
          <w:szCs w:val="22"/>
        </w:rPr>
        <w:t xml:space="preserve">The HSCRC will be hosting a </w:t>
      </w:r>
      <w:r w:rsidR="007D6822">
        <w:rPr>
          <w:rFonts w:ascii="Times New Roman" w:hAnsi="Times New Roman" w:cs="Times New Roman"/>
          <w:sz w:val="22"/>
          <w:szCs w:val="22"/>
        </w:rPr>
        <w:t xml:space="preserve">virtual </w:t>
      </w:r>
      <w:r w:rsidR="001C7F8B">
        <w:rPr>
          <w:rFonts w:ascii="Times New Roman" w:hAnsi="Times New Roman" w:cs="Times New Roman"/>
          <w:sz w:val="22"/>
          <w:szCs w:val="22"/>
        </w:rPr>
        <w:t xml:space="preserve">Q&amp;A </w:t>
      </w:r>
      <w:r w:rsidR="00D76E20">
        <w:rPr>
          <w:rFonts w:ascii="Times New Roman" w:hAnsi="Times New Roman" w:cs="Times New Roman"/>
          <w:sz w:val="22"/>
          <w:szCs w:val="22"/>
        </w:rPr>
        <w:t xml:space="preserve">regarding the survey </w:t>
      </w:r>
      <w:r w:rsidR="001C7F8B">
        <w:rPr>
          <w:rFonts w:ascii="Times New Roman" w:hAnsi="Times New Roman" w:cs="Times New Roman"/>
          <w:sz w:val="22"/>
          <w:szCs w:val="22"/>
        </w:rPr>
        <w:t xml:space="preserve">for hospitals on Tuesday, February 13, </w:t>
      </w:r>
      <w:r w:rsidR="00036D60">
        <w:rPr>
          <w:rFonts w:ascii="Times New Roman" w:hAnsi="Times New Roman" w:cs="Times New Roman"/>
          <w:sz w:val="22"/>
          <w:szCs w:val="22"/>
        </w:rPr>
        <w:t>2024, from 12p – 1p</w:t>
      </w:r>
      <w:r w:rsidR="0033236B">
        <w:rPr>
          <w:rFonts w:ascii="Times New Roman" w:hAnsi="Times New Roman" w:cs="Times New Roman"/>
          <w:sz w:val="22"/>
          <w:szCs w:val="22"/>
        </w:rPr>
        <w:t xml:space="preserve">, please register </w:t>
      </w:r>
      <w:hyperlink r:id="rId9" w:history="1">
        <w:r w:rsidR="0033236B" w:rsidRPr="00FC44AB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 w:rsidR="0033236B">
        <w:rPr>
          <w:rFonts w:ascii="Times New Roman" w:hAnsi="Times New Roman" w:cs="Times New Roman"/>
          <w:sz w:val="22"/>
          <w:szCs w:val="22"/>
        </w:rPr>
        <w:t>.</w:t>
      </w:r>
      <w:r w:rsidR="00CD1B49">
        <w:rPr>
          <w:rFonts w:ascii="Times New Roman" w:hAnsi="Times New Roman" w:cs="Times New Roman"/>
          <w:sz w:val="22"/>
          <w:szCs w:val="22"/>
        </w:rPr>
        <w:t xml:space="preserve"> The HSCRC will also be providing a </w:t>
      </w:r>
      <w:r w:rsidR="00C74411">
        <w:rPr>
          <w:rFonts w:ascii="Times New Roman" w:hAnsi="Times New Roman" w:cs="Times New Roman"/>
          <w:sz w:val="22"/>
          <w:szCs w:val="22"/>
        </w:rPr>
        <w:t>FAQ document which will accompany the survey. More information will be sent with the survey link on February 8, 2024.</w:t>
      </w:r>
    </w:p>
    <w:sectPr w:rsidR="007267EF" w:rsidRPr="001C31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22" w:right="1440" w:bottom="2205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DE2F" w14:textId="77777777" w:rsidR="00F11080" w:rsidRDefault="00F11080">
      <w:r>
        <w:separator/>
      </w:r>
    </w:p>
  </w:endnote>
  <w:endnote w:type="continuationSeparator" w:id="0">
    <w:p w14:paraId="3A178F9A" w14:textId="77777777" w:rsidR="00F11080" w:rsidRDefault="00F1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9B0A" w14:textId="77777777" w:rsidR="007267EF" w:rsidRDefault="005072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C44AB">
      <w:rPr>
        <w:color w:val="000000"/>
      </w:rPr>
      <w:fldChar w:fldCharType="separate"/>
    </w:r>
    <w:r>
      <w:rPr>
        <w:color w:val="000000"/>
      </w:rPr>
      <w:fldChar w:fldCharType="end"/>
    </w:r>
  </w:p>
  <w:p w14:paraId="091EBE5B" w14:textId="77777777" w:rsidR="007267EF" w:rsidRDefault="00726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0F3" w14:textId="7F530D10" w:rsidR="007267EF" w:rsidRDefault="005072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aleway Medium" w:eastAsia="Raleway Medium" w:hAnsi="Raleway Medium" w:cs="Raleway Medium"/>
        <w:color w:val="003889"/>
        <w:sz w:val="16"/>
        <w:szCs w:val="16"/>
      </w:rPr>
    </w:pP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begin"/>
    </w:r>
    <w:r>
      <w:rPr>
        <w:rFonts w:ascii="Raleway Medium" w:eastAsia="Raleway Medium" w:hAnsi="Raleway Medium" w:cs="Raleway Medium"/>
        <w:color w:val="003889"/>
        <w:sz w:val="16"/>
        <w:szCs w:val="16"/>
      </w:rPr>
      <w:instrText>PAGE</w:instrText>
    </w: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separate"/>
    </w:r>
    <w:r w:rsidR="001C3179">
      <w:rPr>
        <w:rFonts w:ascii="Raleway Medium" w:eastAsia="Raleway Medium" w:hAnsi="Raleway Medium" w:cs="Raleway Medium"/>
        <w:noProof/>
        <w:color w:val="003889"/>
        <w:sz w:val="16"/>
        <w:szCs w:val="16"/>
      </w:rPr>
      <w:t>2</w:t>
    </w: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end"/>
    </w:r>
  </w:p>
  <w:p w14:paraId="422B893F" w14:textId="77777777" w:rsidR="007267EF" w:rsidRDefault="005072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75EA3D58" wp14:editId="3640622A">
          <wp:simplePos x="0" y="0"/>
          <wp:positionH relativeFrom="column">
            <wp:posOffset>6038950</wp:posOffset>
          </wp:positionH>
          <wp:positionV relativeFrom="paragraph">
            <wp:posOffset>-105409</wp:posOffset>
          </wp:positionV>
          <wp:extent cx="279400" cy="114300"/>
          <wp:effectExtent l="0" t="0" r="0" b="0"/>
          <wp:wrapSquare wrapText="bothSides" distT="0" distB="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3D102E" w14:textId="77777777" w:rsidR="007267EF" w:rsidRDefault="007267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07C3" w14:textId="77777777" w:rsidR="007267EF" w:rsidRDefault="005072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2819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hidden="0" allowOverlap="1" wp14:anchorId="1E8BD2FC" wp14:editId="7529E0F0">
              <wp:simplePos x="0" y="0"/>
              <wp:positionH relativeFrom="column">
                <wp:posOffset>-901699</wp:posOffset>
              </wp:positionH>
              <wp:positionV relativeFrom="paragraph">
                <wp:posOffset>-279399</wp:posOffset>
              </wp:positionV>
              <wp:extent cx="7767955" cy="499745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6785" y="3534890"/>
                        <a:ext cx="775843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9FF68" w14:textId="77777777" w:rsidR="007267EF" w:rsidRDefault="00507207">
                          <w:pPr>
                            <w:spacing w:after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The Health Services Cost Review Commission is an independent agency of the State of Maryland</w:t>
                          </w:r>
                        </w:p>
                        <w:p w14:paraId="5E781EE8" w14:textId="77777777" w:rsidR="007267EF" w:rsidRDefault="0050720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P:</w:t>
                          </w:r>
                          <w:r>
                            <w:rPr>
                              <w:color w:val="003889"/>
                              <w:sz w:val="17"/>
                            </w:rPr>
                            <w:t xml:space="preserve"> 410.764.2605    </w:t>
                          </w: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F:</w:t>
                          </w:r>
                          <w:r>
                            <w:rPr>
                              <w:color w:val="003889"/>
                              <w:sz w:val="17"/>
                            </w:rPr>
                            <w:t xml:space="preserve"> 410.358.6217          4160 Patterson Avenue  |  Baltimore, MD 21215          hscrc.maryland.gov</w:t>
                          </w:r>
                        </w:p>
                        <w:p w14:paraId="41469A39" w14:textId="77777777" w:rsidR="007267EF" w:rsidRDefault="007267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1097275" tIns="91425" rIns="109727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BD2FC" id="Rectangle 40" o:spid="_x0000_s1029" style="position:absolute;margin-left:-71pt;margin-top:-22pt;width:611.65pt;height:39.3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" filled="f" stroked="f">
              <v:textbox inset="30.47986mm,2.53958mm,30.47986mm,1.2694mm">
                <w:txbxContent>
                  <w:p w14:paraId="5569FF68" w14:textId="77777777" w:rsidR="007267EF" w:rsidRDefault="00507207">
                    <w:pPr>
                      <w:spacing w:after="60"/>
                      <w:jc w:val="center"/>
                      <w:textDirection w:val="btLr"/>
                    </w:pPr>
                    <w:r>
                      <w:rPr>
                        <w:b/>
                        <w:color w:val="003889"/>
                        <w:sz w:val="17"/>
                      </w:rPr>
                      <w:t>The Health Services Cost Review Commission is an independent agency of the State of Maryland</w:t>
                    </w:r>
                  </w:p>
                  <w:p w14:paraId="5E781EE8" w14:textId="77777777" w:rsidR="007267EF" w:rsidRDefault="0050720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3889"/>
                        <w:sz w:val="17"/>
                      </w:rPr>
                      <w:t>P:</w:t>
                    </w:r>
                    <w:r>
                      <w:rPr>
                        <w:color w:val="003889"/>
                        <w:sz w:val="17"/>
                      </w:rPr>
                      <w:t xml:space="preserve"> 410.764.2605    </w:t>
                    </w:r>
                    <w:r>
                      <w:rPr>
                        <w:b/>
                        <w:color w:val="003889"/>
                        <w:sz w:val="17"/>
                      </w:rPr>
                      <w:t>F:</w:t>
                    </w:r>
                    <w:r>
                      <w:rPr>
                        <w:color w:val="003889"/>
                        <w:sz w:val="17"/>
                      </w:rPr>
                      <w:t xml:space="preserve"> 410.358.6217          4160 Patterson Avenue  |  Baltimore, MD 21215          hscrc.maryland.gov</w:t>
                    </w:r>
                  </w:p>
                  <w:p w14:paraId="41469A39" w14:textId="77777777" w:rsidR="007267EF" w:rsidRDefault="007267E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62A75DC2" wp14:editId="49C4BE02">
          <wp:simplePos x="0" y="0"/>
          <wp:positionH relativeFrom="column">
            <wp:posOffset>1936361</wp:posOffset>
          </wp:positionH>
          <wp:positionV relativeFrom="paragraph">
            <wp:posOffset>-15874</wp:posOffset>
          </wp:positionV>
          <wp:extent cx="279400" cy="114300"/>
          <wp:effectExtent l="0" t="0" r="0" b="0"/>
          <wp:wrapSquare wrapText="bothSides" distT="0" distB="0" distL="114300" distR="11430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BA2719" wp14:editId="4F7AB1CA">
          <wp:simplePos x="0" y="0"/>
          <wp:positionH relativeFrom="column">
            <wp:posOffset>4516755</wp:posOffset>
          </wp:positionH>
          <wp:positionV relativeFrom="paragraph">
            <wp:posOffset>-15239</wp:posOffset>
          </wp:positionV>
          <wp:extent cx="279400" cy="114300"/>
          <wp:effectExtent l="0" t="0" r="0" b="0"/>
          <wp:wrapSquare wrapText="bothSides" distT="0" distB="0" distL="114300" distR="11430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D309" w14:textId="77777777" w:rsidR="00F11080" w:rsidRDefault="00F11080">
      <w:r>
        <w:separator/>
      </w:r>
    </w:p>
  </w:footnote>
  <w:footnote w:type="continuationSeparator" w:id="0">
    <w:p w14:paraId="7B4A0A46" w14:textId="77777777" w:rsidR="00F11080" w:rsidRDefault="00F1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BACA" w14:textId="77777777" w:rsidR="007267EF" w:rsidRDefault="00FC4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572AE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.95pt;height:792.95pt;z-index:-25165516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B4E" w14:textId="77777777" w:rsidR="007267EF" w:rsidRDefault="00FC4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20"/>
      <w:rPr>
        <w:color w:val="000000"/>
      </w:rPr>
    </w:pPr>
    <w:r>
      <w:rPr>
        <w:color w:val="000000"/>
      </w:rPr>
      <w:pict w14:anchorId="248DF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612.95pt;height:792.9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B342" w14:textId="5503704C" w:rsidR="007267EF" w:rsidRDefault="001E3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115"/>
      </w:tabs>
      <w:ind w:hanging="72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hidden="0" allowOverlap="1" wp14:anchorId="48EF141A" wp14:editId="67E43603">
              <wp:simplePos x="0" y="0"/>
              <wp:positionH relativeFrom="column">
                <wp:posOffset>4676775</wp:posOffset>
              </wp:positionH>
              <wp:positionV relativeFrom="paragraph">
                <wp:posOffset>962025</wp:posOffset>
              </wp:positionV>
              <wp:extent cx="1876425" cy="4095750"/>
              <wp:effectExtent l="0" t="0" r="0" b="0"/>
              <wp:wrapSquare wrapText="bothSides" distT="0" distB="0" distL="114300" distR="114300"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6425" cy="4095750"/>
                        <a:chOff x="4412550" y="220826"/>
                        <a:chExt cx="1866900" cy="4107409"/>
                      </a:xfrm>
                    </wpg:grpSpPr>
                    <wps:wsp>
                      <wps:cNvPr id="803201653" name="Rectangle 803201653"/>
                      <wps:cNvSpPr/>
                      <wps:spPr>
                        <a:xfrm>
                          <a:off x="4412550" y="220826"/>
                          <a:ext cx="1866900" cy="410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A44CD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Joshua Sharfstein, MD</w:t>
                            </w:r>
                          </w:p>
                          <w:p w14:paraId="5B7B4E7C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Chairman</w:t>
                            </w:r>
                          </w:p>
                          <w:p w14:paraId="247ED8E5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3153879C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Joseph Antos, PhD</w:t>
                            </w:r>
                          </w:p>
                          <w:p w14:paraId="6C862AE9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Vice-Chairman</w:t>
                            </w:r>
                          </w:p>
                          <w:p w14:paraId="7229122B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2CAB009F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James N. Elliott, MD</w:t>
                            </w:r>
                          </w:p>
                          <w:p w14:paraId="37439720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3709656A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Ricardo R. Johnson</w:t>
                            </w:r>
                          </w:p>
                          <w:p w14:paraId="7E847596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3A9FF2C7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Maulik Joshi, DrPH</w:t>
                            </w:r>
                          </w:p>
                          <w:p w14:paraId="25319CBA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193B5121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Adam Kane, Esq</w:t>
                            </w:r>
                          </w:p>
                          <w:p w14:paraId="69D48691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7B565CA4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Nicki McCann, JD</w:t>
                            </w:r>
                          </w:p>
                          <w:p w14:paraId="3B2CEDF3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78CA0FAE" w14:textId="77777777" w:rsidR="007267EF" w:rsidRDefault="007267EF">
                            <w:pPr>
                              <w:textDirection w:val="btLr"/>
                            </w:pPr>
                          </w:p>
                          <w:p w14:paraId="1F2888EE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Jonathan Kromm, PhD</w:t>
                            </w:r>
                          </w:p>
                          <w:p w14:paraId="7119DE5C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Executive Director</w:t>
                            </w:r>
                          </w:p>
                          <w:p w14:paraId="08746FB4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75EDFEAA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William Henderson</w:t>
                            </w:r>
                          </w:p>
                          <w:p w14:paraId="464FBB64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Director</w:t>
                            </w:r>
                          </w:p>
                          <w:p w14:paraId="7BD4BA13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Medical Economics &amp; Data Analytics</w:t>
                            </w:r>
                          </w:p>
                          <w:p w14:paraId="2AF3676F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56D3E2F7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Allan Pack</w:t>
                            </w:r>
                          </w:p>
                          <w:p w14:paraId="19B70F2D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Director</w:t>
                            </w:r>
                          </w:p>
                          <w:p w14:paraId="1ECDE4FA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Population-Based Methodologies</w:t>
                            </w:r>
                          </w:p>
                          <w:p w14:paraId="5BD60410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3C66D153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Gerard J. Schmith</w:t>
                            </w:r>
                          </w:p>
                          <w:p w14:paraId="4F792C20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Director</w:t>
                            </w:r>
                          </w:p>
                          <w:p w14:paraId="769EB2B2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Revenue &amp; Regulation Compliance</w:t>
                            </w:r>
                          </w:p>
                          <w:p w14:paraId="413A4628" w14:textId="77777777" w:rsidR="001E3A00" w:rsidRDefault="001E3A00" w:rsidP="001E3A00">
                            <w:pPr>
                              <w:textDirection w:val="btLr"/>
                            </w:pPr>
                          </w:p>
                          <w:p w14:paraId="73A25128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3889"/>
                                <w:sz w:val="14"/>
                              </w:rPr>
                              <w:t>Claudine Williams</w:t>
                            </w:r>
                          </w:p>
                          <w:p w14:paraId="35106990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Director</w:t>
                            </w:r>
                          </w:p>
                          <w:p w14:paraId="51AE80DE" w14:textId="77777777" w:rsidR="001E3A00" w:rsidRDefault="001E3A00" w:rsidP="001E3A00">
                            <w:pPr>
                              <w:textDirection w:val="btLr"/>
                            </w:pPr>
                            <w:r>
                              <w:rPr>
                                <w:color w:val="003889"/>
                                <w:sz w:val="14"/>
                              </w:rPr>
                              <w:t>Healthcare Data Management &amp; Integrity</w:t>
                            </w:r>
                          </w:p>
                          <w:p w14:paraId="385FDA7D" w14:textId="77777777" w:rsidR="007267EF" w:rsidRDefault="007267EF">
                            <w:pPr>
                              <w:textDirection w:val="btLr"/>
                            </w:pPr>
                          </w:p>
                          <w:p w14:paraId="504DBB43" w14:textId="77777777" w:rsidR="007267EF" w:rsidRDefault="007267EF">
                            <w:pPr>
                              <w:textDirection w:val="btLr"/>
                            </w:pPr>
                          </w:p>
                          <w:p w14:paraId="5115C89D" w14:textId="77777777" w:rsidR="007267EF" w:rsidRDefault="007267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Shape 3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2600" y="2010600"/>
                          <a:ext cx="14011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EF141A" id="Group 39" o:spid="_x0000_s1026" style="position:absolute;margin-left:368.25pt;margin-top:75.75pt;width:147.75pt;height:322.5pt;z-index:251654144;mso-height-relative:margin" coordorigin="44125,2208" coordsize="18669,4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">
              <v:rect id="Rectangle 803201653" o:spid="_x0000_s1027" style="position:absolute;left:44125;top:2208;width:18669;height:4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" filled="f" stroked="f">
                <v:textbox inset="2.53958mm,1.2694mm,2.53958mm,1.2694mm">
                  <w:txbxContent>
                    <w:p w14:paraId="0B5A44CD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Joshua Sharfstein, MD</w:t>
                      </w:r>
                    </w:p>
                    <w:p w14:paraId="5B7B4E7C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Chairman</w:t>
                      </w:r>
                    </w:p>
                    <w:p w14:paraId="247ED8E5" w14:textId="77777777" w:rsidR="001E3A00" w:rsidRDefault="001E3A00" w:rsidP="001E3A00">
                      <w:pPr>
                        <w:textDirection w:val="btLr"/>
                      </w:pPr>
                    </w:p>
                    <w:p w14:paraId="3153879C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Joseph Antos, PhD</w:t>
                      </w:r>
                    </w:p>
                    <w:p w14:paraId="6C862AE9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Vice-Chairman</w:t>
                      </w:r>
                    </w:p>
                    <w:p w14:paraId="7229122B" w14:textId="77777777" w:rsidR="001E3A00" w:rsidRDefault="001E3A00" w:rsidP="001E3A00">
                      <w:pPr>
                        <w:textDirection w:val="btLr"/>
                      </w:pPr>
                    </w:p>
                    <w:p w14:paraId="2CAB009F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James N. Elliott, MD</w:t>
                      </w:r>
                    </w:p>
                    <w:p w14:paraId="37439720" w14:textId="77777777" w:rsidR="001E3A00" w:rsidRDefault="001E3A00" w:rsidP="001E3A00">
                      <w:pPr>
                        <w:textDirection w:val="btLr"/>
                      </w:pPr>
                    </w:p>
                    <w:p w14:paraId="3709656A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Ricardo R. Johnson</w:t>
                      </w:r>
                    </w:p>
                    <w:p w14:paraId="7E847596" w14:textId="77777777" w:rsidR="001E3A00" w:rsidRDefault="001E3A00" w:rsidP="001E3A00">
                      <w:pPr>
                        <w:textDirection w:val="btLr"/>
                      </w:pPr>
                    </w:p>
                    <w:p w14:paraId="3A9FF2C7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Maulik Joshi, DrPH</w:t>
                      </w:r>
                    </w:p>
                    <w:p w14:paraId="25319CBA" w14:textId="77777777" w:rsidR="001E3A00" w:rsidRDefault="001E3A00" w:rsidP="001E3A00">
                      <w:pPr>
                        <w:textDirection w:val="btLr"/>
                      </w:pPr>
                    </w:p>
                    <w:p w14:paraId="193B5121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Adam Kane, Esq</w:t>
                      </w:r>
                    </w:p>
                    <w:p w14:paraId="69D48691" w14:textId="77777777" w:rsidR="001E3A00" w:rsidRDefault="001E3A00" w:rsidP="001E3A00">
                      <w:pPr>
                        <w:textDirection w:val="btLr"/>
                      </w:pPr>
                    </w:p>
                    <w:p w14:paraId="7B565CA4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Nicki McCann, JD</w:t>
                      </w:r>
                    </w:p>
                    <w:p w14:paraId="3B2CEDF3" w14:textId="77777777" w:rsidR="001E3A00" w:rsidRDefault="001E3A00" w:rsidP="001E3A00">
                      <w:pPr>
                        <w:textDirection w:val="btLr"/>
                      </w:pPr>
                    </w:p>
                    <w:p w14:paraId="78CA0FAE" w14:textId="77777777" w:rsidR="007267EF" w:rsidRDefault="007267EF">
                      <w:pPr>
                        <w:textDirection w:val="btLr"/>
                      </w:pPr>
                    </w:p>
                    <w:p w14:paraId="1F2888EE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Jonathan Kromm, PhD</w:t>
                      </w:r>
                    </w:p>
                    <w:p w14:paraId="7119DE5C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Executive Director</w:t>
                      </w:r>
                    </w:p>
                    <w:p w14:paraId="08746FB4" w14:textId="77777777" w:rsidR="001E3A00" w:rsidRDefault="001E3A00" w:rsidP="001E3A00">
                      <w:pPr>
                        <w:textDirection w:val="btLr"/>
                      </w:pPr>
                    </w:p>
                    <w:p w14:paraId="75EDFEAA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William Henderson</w:t>
                      </w:r>
                    </w:p>
                    <w:p w14:paraId="464FBB64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Director</w:t>
                      </w:r>
                    </w:p>
                    <w:p w14:paraId="7BD4BA13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Medical Economics &amp; Data Analytics</w:t>
                      </w:r>
                    </w:p>
                    <w:p w14:paraId="2AF3676F" w14:textId="77777777" w:rsidR="001E3A00" w:rsidRDefault="001E3A00" w:rsidP="001E3A00">
                      <w:pPr>
                        <w:textDirection w:val="btLr"/>
                      </w:pPr>
                    </w:p>
                    <w:p w14:paraId="56D3E2F7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Allan Pack</w:t>
                      </w:r>
                    </w:p>
                    <w:p w14:paraId="19B70F2D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Director</w:t>
                      </w:r>
                    </w:p>
                    <w:p w14:paraId="1ECDE4FA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Population-Based Methodologies</w:t>
                      </w:r>
                    </w:p>
                    <w:p w14:paraId="5BD60410" w14:textId="77777777" w:rsidR="001E3A00" w:rsidRDefault="001E3A00" w:rsidP="001E3A00">
                      <w:pPr>
                        <w:textDirection w:val="btLr"/>
                      </w:pPr>
                    </w:p>
                    <w:p w14:paraId="3C66D153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Gerard J. Schmith</w:t>
                      </w:r>
                    </w:p>
                    <w:p w14:paraId="4F792C20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Director</w:t>
                      </w:r>
                    </w:p>
                    <w:p w14:paraId="769EB2B2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Revenue &amp; Regulation Compliance</w:t>
                      </w:r>
                    </w:p>
                    <w:p w14:paraId="413A4628" w14:textId="77777777" w:rsidR="001E3A00" w:rsidRDefault="001E3A00" w:rsidP="001E3A00">
                      <w:pPr>
                        <w:textDirection w:val="btLr"/>
                      </w:pPr>
                    </w:p>
                    <w:p w14:paraId="73A25128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b/>
                          <w:color w:val="003889"/>
                          <w:sz w:val="14"/>
                        </w:rPr>
                        <w:t>Claudine Williams</w:t>
                      </w:r>
                    </w:p>
                    <w:p w14:paraId="35106990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Director</w:t>
                      </w:r>
                    </w:p>
                    <w:p w14:paraId="51AE80DE" w14:textId="77777777" w:rsidR="001E3A00" w:rsidRDefault="001E3A00" w:rsidP="001E3A00">
                      <w:pPr>
                        <w:textDirection w:val="btLr"/>
                      </w:pPr>
                      <w:r>
                        <w:rPr>
                          <w:color w:val="003889"/>
                          <w:sz w:val="14"/>
                        </w:rPr>
                        <w:t>Healthcare Data Management &amp; Integrity</w:t>
                      </w:r>
                    </w:p>
                    <w:p w14:paraId="385FDA7D" w14:textId="77777777" w:rsidR="007267EF" w:rsidRDefault="007267EF">
                      <w:pPr>
                        <w:textDirection w:val="btLr"/>
                      </w:pPr>
                    </w:p>
                    <w:p w14:paraId="504DBB43" w14:textId="77777777" w:rsidR="007267EF" w:rsidRDefault="007267EF">
                      <w:pPr>
                        <w:textDirection w:val="btLr"/>
                      </w:pPr>
                    </w:p>
                    <w:p w14:paraId="5115C89D" w14:textId="77777777" w:rsidR="007267EF" w:rsidRDefault="007267EF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3" o:spid="_x0000_s1028" type="#_x0000_t75" style="position:absolute;left:45026;top:20106;width:14011;height:14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">
                <v:imagedata r:id="rId2" o:title=""/>
              </v:shape>
              <w10:wrap type="square"/>
            </v:group>
          </w:pict>
        </mc:Fallback>
      </mc:AlternateContent>
    </w:r>
    <w:r w:rsidR="00FC44AB">
      <w:rPr>
        <w:color w:val="000000"/>
      </w:rPr>
      <w:pict w14:anchorId="5F02A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.95pt;height:792.95pt;z-index:-251656192;mso-position-horizontal:center;mso-position-horizontal-relative:margin;mso-position-vertical:center;mso-position-vertical-relative:margin">
          <v:imagedata r:id="rId3" o:title="image2"/>
          <w10:wrap anchorx="margin" anchory="margin"/>
        </v:shape>
      </w:pict>
    </w:r>
    <w:r>
      <w:rPr>
        <w:noProof/>
        <w:color w:val="000000"/>
      </w:rPr>
      <w:drawing>
        <wp:inline distT="0" distB="0" distL="0" distR="0" wp14:anchorId="05088F2D" wp14:editId="34695BAF">
          <wp:extent cx="2425700" cy="533400"/>
          <wp:effectExtent l="0" t="0" r="0" b="0"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bookmarkStart w:id="0" w:name="_heading=h.gjdgxs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965"/>
    <w:multiLevelType w:val="hybridMultilevel"/>
    <w:tmpl w:val="8392EDD0"/>
    <w:lvl w:ilvl="0" w:tplc="D6622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C8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A6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A5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0E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C5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C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0A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D0E18"/>
    <w:multiLevelType w:val="hybridMultilevel"/>
    <w:tmpl w:val="539C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930901">
    <w:abstractNumId w:val="0"/>
  </w:num>
  <w:num w:numId="2" w16cid:durableId="63572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F"/>
    <w:rsid w:val="00036D60"/>
    <w:rsid w:val="00042F99"/>
    <w:rsid w:val="000C37DA"/>
    <w:rsid w:val="001C3179"/>
    <w:rsid w:val="001C7F8B"/>
    <w:rsid w:val="001E3A00"/>
    <w:rsid w:val="002252C9"/>
    <w:rsid w:val="002861A6"/>
    <w:rsid w:val="002D490F"/>
    <w:rsid w:val="00300436"/>
    <w:rsid w:val="003042A5"/>
    <w:rsid w:val="00326BEF"/>
    <w:rsid w:val="0033236B"/>
    <w:rsid w:val="003C25F6"/>
    <w:rsid w:val="00417AC4"/>
    <w:rsid w:val="00432940"/>
    <w:rsid w:val="00460DEB"/>
    <w:rsid w:val="004D77FE"/>
    <w:rsid w:val="00507207"/>
    <w:rsid w:val="005116F6"/>
    <w:rsid w:val="00511A1A"/>
    <w:rsid w:val="00542D66"/>
    <w:rsid w:val="00555F88"/>
    <w:rsid w:val="005C2850"/>
    <w:rsid w:val="005D2992"/>
    <w:rsid w:val="005D7CE4"/>
    <w:rsid w:val="00622D3E"/>
    <w:rsid w:val="0063199C"/>
    <w:rsid w:val="007267EF"/>
    <w:rsid w:val="00754757"/>
    <w:rsid w:val="007C2FF7"/>
    <w:rsid w:val="007D38DD"/>
    <w:rsid w:val="007D6822"/>
    <w:rsid w:val="007F181C"/>
    <w:rsid w:val="00875276"/>
    <w:rsid w:val="00895D8C"/>
    <w:rsid w:val="008E06B5"/>
    <w:rsid w:val="00917571"/>
    <w:rsid w:val="00951D29"/>
    <w:rsid w:val="00A472D4"/>
    <w:rsid w:val="00A573B5"/>
    <w:rsid w:val="00A607B4"/>
    <w:rsid w:val="00A65629"/>
    <w:rsid w:val="00A96AD0"/>
    <w:rsid w:val="00AD1701"/>
    <w:rsid w:val="00AF7686"/>
    <w:rsid w:val="00B07271"/>
    <w:rsid w:val="00B93298"/>
    <w:rsid w:val="00C028CC"/>
    <w:rsid w:val="00C2039E"/>
    <w:rsid w:val="00C27C89"/>
    <w:rsid w:val="00C43AF7"/>
    <w:rsid w:val="00C61338"/>
    <w:rsid w:val="00C74411"/>
    <w:rsid w:val="00CD1B49"/>
    <w:rsid w:val="00D12322"/>
    <w:rsid w:val="00D76E20"/>
    <w:rsid w:val="00D93B63"/>
    <w:rsid w:val="00DA1EF4"/>
    <w:rsid w:val="00DE5243"/>
    <w:rsid w:val="00E94F63"/>
    <w:rsid w:val="00EF3A0D"/>
    <w:rsid w:val="00F0350A"/>
    <w:rsid w:val="00F11080"/>
    <w:rsid w:val="00F2274D"/>
    <w:rsid w:val="00FC44AB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6D2DC"/>
  <w15:docId w15:val="{8B62452F-CD79-4968-8DC5-286DD622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3AF7"/>
    <w:pPr>
      <w:ind w:left="720"/>
      <w:contextualSpacing/>
    </w:pPr>
  </w:style>
  <w:style w:type="paragraph" w:styleId="Revision">
    <w:name w:val="Revision"/>
    <w:hidden/>
    <w:uiPriority w:val="99"/>
    <w:semiHidden/>
    <w:rsid w:val="00622D3E"/>
  </w:style>
  <w:style w:type="character" w:styleId="Hyperlink">
    <w:name w:val="Hyperlink"/>
    <w:basedOn w:val="DefaultParagraphFont"/>
    <w:uiPriority w:val="99"/>
    <w:unhideWhenUsed/>
    <w:rsid w:val="00A65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6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6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1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crc.maryland.gov/Documents/Strong%20als%20Folder/1%20-%20Policy%20Clarifications%20-%20Memos/2023%20Memorandums/2023.11.30_Annual%20Filing%20Modernization%20Memorandum%20-%2011.30.23.doc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hscrc.maryland.gov/Pages/Subgroup-annual-filing-modernization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3OJL8b0msUUe6Kn+yKiINqJHQ==">AMUW2mXHBprXcpGHUwblPtxY+iWhgrF0wuJHjNbIcbBYe+xJ185ccgnV3pc/dzSOmStjW60iOdGHXzahQbukKG25wqi1o+/OYNerphRY6S2KSRLWalASzAfphE54hWZ5RE/qA0mA9zXj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C9E664-F839-40D1-943B-F58A7C365C3C}"/>
</file>

<file path=customXml/itemProps3.xml><?xml version="1.0" encoding="utf-8"?>
<ds:datastoreItem xmlns:ds="http://schemas.openxmlformats.org/officeDocument/2006/customXml" ds:itemID="{E365B35C-81B7-4F32-9D53-06D190CC5027}"/>
</file>

<file path=customXml/itemProps4.xml><?xml version="1.0" encoding="utf-8"?>
<ds:datastoreItem xmlns:ds="http://schemas.openxmlformats.org/officeDocument/2006/customXml" ds:itemID="{AEE84962-1F46-425B-81CB-800E6FA41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Lin</dc:creator>
  <cp:lastModifiedBy>Karen Teague</cp:lastModifiedBy>
  <cp:revision>53</cp:revision>
  <dcterms:created xsi:type="dcterms:W3CDTF">2023-11-27T19:53:00Z</dcterms:created>
  <dcterms:modified xsi:type="dcterms:W3CDTF">2024-01-31T16:49:00Z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