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1B399" w14:textId="10BBD610" w:rsidR="00EF4726" w:rsidRDefault="00EF4726" w:rsidP="00EF4726">
      <w:pPr>
        <w:pStyle w:val="Title"/>
        <w:jc w:val="center"/>
        <w:rPr>
          <w:rStyle w:val="Heading1Char"/>
          <w:color w:val="auto"/>
          <w:sz w:val="56"/>
          <w:szCs w:val="56"/>
        </w:rPr>
      </w:pPr>
      <w:r>
        <w:rPr>
          <w:rStyle w:val="Heading1Char"/>
          <w:color w:val="auto"/>
          <w:sz w:val="56"/>
          <w:szCs w:val="56"/>
        </w:rPr>
        <w:t xml:space="preserve">HSCRC </w:t>
      </w:r>
      <w:r w:rsidR="006E4743" w:rsidRPr="00EF4726">
        <w:rPr>
          <w:rStyle w:val="Heading1Char"/>
          <w:color w:val="auto"/>
          <w:sz w:val="56"/>
          <w:szCs w:val="56"/>
        </w:rPr>
        <w:t>Transformation</w:t>
      </w:r>
      <w:r>
        <w:rPr>
          <w:rStyle w:val="Heading1Char"/>
          <w:color w:val="auto"/>
          <w:sz w:val="56"/>
          <w:szCs w:val="56"/>
        </w:rPr>
        <w:t xml:space="preserve"> </w:t>
      </w:r>
      <w:r w:rsidR="006E4743" w:rsidRPr="00EF4726">
        <w:rPr>
          <w:rStyle w:val="Heading1Char"/>
          <w:color w:val="auto"/>
          <w:sz w:val="56"/>
          <w:szCs w:val="56"/>
        </w:rPr>
        <w:t>Grant</w:t>
      </w:r>
    </w:p>
    <w:p w14:paraId="0B90A2E6" w14:textId="6C13D503" w:rsidR="005F2691" w:rsidRDefault="00EF4726" w:rsidP="00EF4726">
      <w:pPr>
        <w:pStyle w:val="Subtitle"/>
        <w:jc w:val="center"/>
        <w:rPr>
          <w:rStyle w:val="Heading1Char"/>
          <w:rFonts w:asciiTheme="minorHAnsi" w:eastAsiaTheme="minorEastAsia" w:hAnsiTheme="minorHAnsi" w:cstheme="minorBidi"/>
          <w:color w:val="5A5A5A" w:themeColor="text1" w:themeTint="A5"/>
          <w:sz w:val="22"/>
          <w:szCs w:val="22"/>
        </w:rPr>
      </w:pPr>
      <w:r w:rsidRPr="00EF4726">
        <w:rPr>
          <w:rStyle w:val="Heading1Char"/>
          <w:rFonts w:asciiTheme="minorHAnsi" w:eastAsiaTheme="minorEastAsia" w:hAnsiTheme="minorHAnsi" w:cstheme="minorBidi"/>
          <w:color w:val="5A5A5A" w:themeColor="text1" w:themeTint="A5"/>
          <w:sz w:val="22"/>
          <w:szCs w:val="22"/>
        </w:rPr>
        <w:t xml:space="preserve">FY 2018 </w:t>
      </w:r>
      <w:r w:rsidR="006E4743" w:rsidRPr="00EF4726">
        <w:rPr>
          <w:rStyle w:val="Heading1Char"/>
          <w:rFonts w:asciiTheme="minorHAnsi" w:eastAsiaTheme="minorEastAsia" w:hAnsiTheme="minorHAnsi" w:cstheme="minorBidi"/>
          <w:color w:val="5A5A5A" w:themeColor="text1" w:themeTint="A5"/>
          <w:sz w:val="22"/>
          <w:szCs w:val="22"/>
        </w:rPr>
        <w:t>Report</w:t>
      </w:r>
    </w:p>
    <w:p w14:paraId="26C04F32" w14:textId="5A88B9B5" w:rsidR="00EF4726" w:rsidRPr="00EF4726" w:rsidRDefault="00EF4726" w:rsidP="00EF4726">
      <w:r>
        <w:t>The Health Services Cost Review Commission (HS</w:t>
      </w:r>
      <w:r w:rsidR="004E2FD9">
        <w:t xml:space="preserve">CRC) is reviewing the following for FY 2018: this Report, the Budget Report, and the Budget Narrative. </w:t>
      </w:r>
      <w:r w:rsidR="008106A3">
        <w:t xml:space="preserve">Whereas the Budget Report distinguishes between each hospital, this </w:t>
      </w:r>
      <w:r w:rsidR="00D02E12">
        <w:t xml:space="preserve">Summary </w:t>
      </w:r>
      <w:r w:rsidR="008106A3">
        <w:t>Report should describe all hospitals, if more than one, that are in the Regional Partnership.</w:t>
      </w:r>
    </w:p>
    <w:p w14:paraId="2E8C22C2" w14:textId="7D1735AA" w:rsidR="00540AE4" w:rsidRDefault="00C74336" w:rsidP="007B52B7">
      <w:pPr>
        <w:pStyle w:val="Heading1"/>
        <w:rPr>
          <w:rStyle w:val="Heading1Char"/>
        </w:rPr>
      </w:pPr>
      <w:r>
        <w:rPr>
          <w:rStyle w:val="Heading1Char"/>
        </w:rPr>
        <w:t>Regional Partnership</w:t>
      </w:r>
      <w:r w:rsidR="00095C97">
        <w:rPr>
          <w:rStyle w:val="Heading1Char"/>
        </w:rPr>
        <w:t xml:space="preserve"> Information</w:t>
      </w:r>
    </w:p>
    <w:tbl>
      <w:tblPr>
        <w:tblStyle w:val="TableGridLight"/>
        <w:tblW w:w="9445" w:type="dxa"/>
        <w:tblCellMar>
          <w:top w:w="115" w:type="dxa"/>
          <w:left w:w="115" w:type="dxa"/>
          <w:bottom w:w="115" w:type="dxa"/>
          <w:right w:w="115" w:type="dxa"/>
        </w:tblCellMar>
        <w:tblLook w:val="04A0" w:firstRow="1" w:lastRow="0" w:firstColumn="1" w:lastColumn="0" w:noHBand="0" w:noVBand="1"/>
      </w:tblPr>
      <w:tblGrid>
        <w:gridCol w:w="3600"/>
        <w:gridCol w:w="5845"/>
      </w:tblGrid>
      <w:tr w:rsidR="00EF4726" w14:paraId="721D26FA" w14:textId="77777777" w:rsidTr="00D02142">
        <w:tc>
          <w:tcPr>
            <w:tcW w:w="3600" w:type="dxa"/>
          </w:tcPr>
          <w:p w14:paraId="64ADAC2D" w14:textId="49CA43D4" w:rsidR="00EF4726" w:rsidRPr="00F43692" w:rsidRDefault="00EF4726" w:rsidP="00EF4726">
            <w:pPr>
              <w:rPr>
                <w:b/>
              </w:rPr>
            </w:pPr>
            <w:r w:rsidRPr="00F43692">
              <w:rPr>
                <w:b/>
              </w:rPr>
              <w:t>Regional Partnership (RP) Name</w:t>
            </w:r>
          </w:p>
        </w:tc>
        <w:tc>
          <w:tcPr>
            <w:tcW w:w="5845" w:type="dxa"/>
          </w:tcPr>
          <w:p w14:paraId="75B31442" w14:textId="4440A5A5" w:rsidR="00EF4726" w:rsidRDefault="000524E7" w:rsidP="00EF4726">
            <w:r>
              <w:t>Greater Baltimore Medical Center</w:t>
            </w:r>
          </w:p>
        </w:tc>
      </w:tr>
      <w:tr w:rsidR="00EF4726" w14:paraId="788D9D63" w14:textId="77777777" w:rsidTr="00D02142">
        <w:tc>
          <w:tcPr>
            <w:tcW w:w="3600" w:type="dxa"/>
          </w:tcPr>
          <w:p w14:paraId="4A60B77C" w14:textId="57CC7EDF" w:rsidR="00EF4726" w:rsidRPr="00F43692" w:rsidRDefault="00EF4726" w:rsidP="00EF4726">
            <w:pPr>
              <w:rPr>
                <w:b/>
              </w:rPr>
            </w:pPr>
            <w:r w:rsidRPr="00F43692">
              <w:rPr>
                <w:b/>
              </w:rPr>
              <w:t>RP Hospital(s)</w:t>
            </w:r>
          </w:p>
        </w:tc>
        <w:tc>
          <w:tcPr>
            <w:tcW w:w="5845" w:type="dxa"/>
          </w:tcPr>
          <w:p w14:paraId="7B6BFB1E" w14:textId="253A84FE" w:rsidR="00EF4726" w:rsidRDefault="000524E7" w:rsidP="00EF4726">
            <w:r>
              <w:t>Greater Baltimore Medical Center</w:t>
            </w:r>
          </w:p>
        </w:tc>
      </w:tr>
      <w:tr w:rsidR="00E54B91" w14:paraId="471A7F95" w14:textId="77777777" w:rsidTr="00D02142">
        <w:tc>
          <w:tcPr>
            <w:tcW w:w="3600" w:type="dxa"/>
          </w:tcPr>
          <w:p w14:paraId="41E9044B" w14:textId="5E9D50AB" w:rsidR="00E54B91" w:rsidRPr="00F43692" w:rsidRDefault="00E54B91" w:rsidP="00EF4726">
            <w:pPr>
              <w:rPr>
                <w:b/>
              </w:rPr>
            </w:pPr>
            <w:r>
              <w:rPr>
                <w:b/>
              </w:rPr>
              <w:t>RP POC</w:t>
            </w:r>
          </w:p>
        </w:tc>
        <w:tc>
          <w:tcPr>
            <w:tcW w:w="5845" w:type="dxa"/>
          </w:tcPr>
          <w:p w14:paraId="235676DB" w14:textId="4616A429" w:rsidR="00E54B91" w:rsidRDefault="000524E7" w:rsidP="00EF4726">
            <w:r>
              <w:t>S</w:t>
            </w:r>
            <w:r w:rsidR="00B77836">
              <w:t>arah Fogler</w:t>
            </w:r>
            <w:r w:rsidR="001062B6">
              <w:t xml:space="preserve">, Senior Director of Population Health </w:t>
            </w:r>
          </w:p>
        </w:tc>
      </w:tr>
      <w:tr w:rsidR="00EF4726" w14:paraId="7BC057F3" w14:textId="77777777" w:rsidTr="00D02142">
        <w:tc>
          <w:tcPr>
            <w:tcW w:w="3600" w:type="dxa"/>
          </w:tcPr>
          <w:p w14:paraId="75799679" w14:textId="6E5648E2" w:rsidR="00EF4726" w:rsidRPr="00F43692" w:rsidRDefault="00EF4726" w:rsidP="00EF4726">
            <w:pPr>
              <w:rPr>
                <w:b/>
              </w:rPr>
            </w:pPr>
            <w:r w:rsidRPr="00F43692">
              <w:rPr>
                <w:b/>
              </w:rPr>
              <w:t>RP Interventions in FY 2018</w:t>
            </w:r>
          </w:p>
        </w:tc>
        <w:tc>
          <w:tcPr>
            <w:tcW w:w="5845" w:type="dxa"/>
          </w:tcPr>
          <w:p w14:paraId="548E8CE7" w14:textId="09BA7B6E" w:rsidR="00EF4726" w:rsidRDefault="001062B6" w:rsidP="00EF4726">
            <w:r>
              <w:t>Expansion and Management of Chronic Conditions Through Improved Integration of Mental Health Services, Palliative Care Services, and Care Coordination</w:t>
            </w:r>
          </w:p>
        </w:tc>
      </w:tr>
      <w:tr w:rsidR="00903AA3" w14:paraId="1B3E8D95" w14:textId="77777777" w:rsidTr="00903AA3">
        <w:trPr>
          <w:trHeight w:val="313"/>
        </w:trPr>
        <w:tc>
          <w:tcPr>
            <w:tcW w:w="3600" w:type="dxa"/>
          </w:tcPr>
          <w:p w14:paraId="347A8FDD" w14:textId="61261129" w:rsidR="00903AA3" w:rsidRPr="00F43692" w:rsidRDefault="00903AA3" w:rsidP="00EF4726">
            <w:pPr>
              <w:rPr>
                <w:b/>
              </w:rPr>
            </w:pPr>
            <w:r w:rsidRPr="00F43692">
              <w:rPr>
                <w:b/>
              </w:rPr>
              <w:t>Total Budget</w:t>
            </w:r>
            <w:r>
              <w:rPr>
                <w:b/>
              </w:rPr>
              <w:t xml:space="preserve"> in </w:t>
            </w:r>
            <w:r w:rsidRPr="00F43692">
              <w:rPr>
                <w:b/>
              </w:rPr>
              <w:t>FY 2018</w:t>
            </w:r>
          </w:p>
          <w:p w14:paraId="6307AE86" w14:textId="4352EA73" w:rsidR="00903AA3" w:rsidRPr="00EF4726" w:rsidRDefault="00394CB3" w:rsidP="00394CB3">
            <w:pPr>
              <w:rPr>
                <w:i/>
              </w:rPr>
            </w:pPr>
            <w:r>
              <w:rPr>
                <w:i/>
                <w:sz w:val="20"/>
              </w:rPr>
              <w:t>This should equate to total FY 2017 award</w:t>
            </w:r>
            <w:r w:rsidR="00903AA3">
              <w:rPr>
                <w:i/>
                <w:sz w:val="20"/>
              </w:rPr>
              <w:t xml:space="preserve"> </w:t>
            </w:r>
          </w:p>
        </w:tc>
        <w:tc>
          <w:tcPr>
            <w:tcW w:w="5845" w:type="dxa"/>
          </w:tcPr>
          <w:p w14:paraId="38BF3AC6" w14:textId="1D5E43D6" w:rsidR="00903AA3" w:rsidRDefault="00394CB3" w:rsidP="00EF4726">
            <w:r>
              <w:t xml:space="preserve"> FY 2018 Award:</w:t>
            </w:r>
            <w:r w:rsidR="00B77836">
              <w:t xml:space="preserve"> $1,903,618</w:t>
            </w:r>
          </w:p>
        </w:tc>
      </w:tr>
      <w:tr w:rsidR="004E2FD9" w14:paraId="44BBB008" w14:textId="77777777" w:rsidTr="00D02142">
        <w:trPr>
          <w:trHeight w:val="245"/>
        </w:trPr>
        <w:tc>
          <w:tcPr>
            <w:tcW w:w="3600" w:type="dxa"/>
            <w:vMerge w:val="restart"/>
          </w:tcPr>
          <w:p w14:paraId="2AC745D0" w14:textId="113A0DF3" w:rsidR="004E2FD9" w:rsidRPr="00F43692" w:rsidRDefault="00BE7035" w:rsidP="00EF4726">
            <w:pPr>
              <w:rPr>
                <w:b/>
              </w:rPr>
            </w:pPr>
            <w:r w:rsidRPr="00F43692">
              <w:rPr>
                <w:b/>
              </w:rPr>
              <w:t>Total</w:t>
            </w:r>
            <w:r w:rsidR="004E2FD9" w:rsidRPr="00F43692">
              <w:rPr>
                <w:b/>
              </w:rPr>
              <w:t xml:space="preserve"> FTEs</w:t>
            </w:r>
            <w:r w:rsidR="005733DE" w:rsidRPr="00F43692">
              <w:rPr>
                <w:b/>
              </w:rPr>
              <w:t xml:space="preserve"> </w:t>
            </w:r>
            <w:r w:rsidR="004E2FD9" w:rsidRPr="00F43692">
              <w:rPr>
                <w:b/>
              </w:rPr>
              <w:t>in FY 2018</w:t>
            </w:r>
          </w:p>
          <w:p w14:paraId="4171A092" w14:textId="4197BCC6" w:rsidR="004E2FD9" w:rsidRDefault="004E2FD9" w:rsidP="00EF4726"/>
        </w:tc>
        <w:tc>
          <w:tcPr>
            <w:tcW w:w="5845" w:type="dxa"/>
          </w:tcPr>
          <w:p w14:paraId="0FF4081B" w14:textId="5E155868" w:rsidR="004E2FD9" w:rsidRDefault="004E2FD9" w:rsidP="00EF4726">
            <w:r>
              <w:t>Employed:</w:t>
            </w:r>
            <w:r w:rsidR="00B77836">
              <w:t xml:space="preserve"> 10</w:t>
            </w:r>
          </w:p>
          <w:p w14:paraId="3F29E179" w14:textId="6F3DE33A" w:rsidR="004E2FD9" w:rsidRDefault="004E2FD9" w:rsidP="00EF4726"/>
        </w:tc>
      </w:tr>
      <w:tr w:rsidR="004E2FD9" w14:paraId="7F79BC54" w14:textId="77777777" w:rsidTr="00D02142">
        <w:trPr>
          <w:trHeight w:val="244"/>
        </w:trPr>
        <w:tc>
          <w:tcPr>
            <w:tcW w:w="3600" w:type="dxa"/>
            <w:vMerge/>
          </w:tcPr>
          <w:p w14:paraId="6842CE38" w14:textId="77777777" w:rsidR="004E2FD9" w:rsidRDefault="004E2FD9" w:rsidP="00EF4726"/>
        </w:tc>
        <w:tc>
          <w:tcPr>
            <w:tcW w:w="5845" w:type="dxa"/>
          </w:tcPr>
          <w:p w14:paraId="1FE7A2DE" w14:textId="4342EE0E" w:rsidR="004E2FD9" w:rsidRDefault="004E2FD9" w:rsidP="00EF4726">
            <w:r>
              <w:t>Contracted:</w:t>
            </w:r>
            <w:r w:rsidR="00B77836">
              <w:t xml:space="preserve"> 13</w:t>
            </w:r>
          </w:p>
          <w:p w14:paraId="65EE3BD1" w14:textId="34432BCC" w:rsidR="004E2FD9" w:rsidRDefault="004E2FD9" w:rsidP="00EF4726"/>
        </w:tc>
      </w:tr>
      <w:tr w:rsidR="004E2FD9" w14:paraId="12B8041C" w14:textId="77777777" w:rsidTr="00D02142">
        <w:trPr>
          <w:trHeight w:val="244"/>
        </w:trPr>
        <w:tc>
          <w:tcPr>
            <w:tcW w:w="3600" w:type="dxa"/>
          </w:tcPr>
          <w:p w14:paraId="361EB133" w14:textId="77777777" w:rsidR="004E2FD9" w:rsidRDefault="005733DE" w:rsidP="00EF4726">
            <w:pPr>
              <w:rPr>
                <w:b/>
              </w:rPr>
            </w:pPr>
            <w:r w:rsidRPr="00F43692">
              <w:rPr>
                <w:b/>
              </w:rPr>
              <w:t>Program</w:t>
            </w:r>
            <w:r w:rsidR="004E2FD9" w:rsidRPr="00F43692">
              <w:rPr>
                <w:b/>
              </w:rPr>
              <w:t xml:space="preserve"> Partners in FY</w:t>
            </w:r>
            <w:r w:rsidR="009C7A37" w:rsidRPr="00F43692">
              <w:rPr>
                <w:b/>
              </w:rPr>
              <w:t xml:space="preserve"> 2018</w:t>
            </w:r>
          </w:p>
          <w:p w14:paraId="7AF90C0F" w14:textId="46DFCC4D" w:rsidR="00E54B91" w:rsidRPr="00E54B91" w:rsidRDefault="00D02E12" w:rsidP="00E54B91">
            <w:pPr>
              <w:rPr>
                <w:i/>
                <w:sz w:val="20"/>
              </w:rPr>
            </w:pPr>
            <w:r>
              <w:rPr>
                <w:i/>
                <w:sz w:val="20"/>
              </w:rPr>
              <w:t>Please list any community-</w:t>
            </w:r>
            <w:r w:rsidR="00E54B91">
              <w:rPr>
                <w:i/>
                <w:sz w:val="20"/>
              </w:rPr>
              <w:t>based organizations</w:t>
            </w:r>
            <w:r w:rsidR="00A74C12">
              <w:rPr>
                <w:i/>
                <w:sz w:val="20"/>
              </w:rPr>
              <w:t xml:space="preserve"> or provider groups</w:t>
            </w:r>
            <w:r w:rsidR="00E54B91">
              <w:rPr>
                <w:i/>
                <w:sz w:val="20"/>
              </w:rPr>
              <w:t>, contractors, and/or public partners</w:t>
            </w:r>
          </w:p>
        </w:tc>
        <w:tc>
          <w:tcPr>
            <w:tcW w:w="5845" w:type="dxa"/>
          </w:tcPr>
          <w:p w14:paraId="3FD36675" w14:textId="77777777" w:rsidR="00B77836" w:rsidRPr="000E2355" w:rsidRDefault="00B77836" w:rsidP="00B77836">
            <w:pPr>
              <w:pStyle w:val="BodyText"/>
              <w:numPr>
                <w:ilvl w:val="0"/>
                <w:numId w:val="8"/>
              </w:numPr>
              <w:spacing w:before="1"/>
              <w:ind w:right="56"/>
              <w:rPr>
                <w:rFonts w:asciiTheme="minorHAnsi" w:hAnsiTheme="minorHAnsi"/>
                <w:sz w:val="22"/>
                <w:szCs w:val="22"/>
              </w:rPr>
            </w:pPr>
            <w:r w:rsidRPr="000E2355">
              <w:rPr>
                <w:rFonts w:asciiTheme="minorHAnsi" w:hAnsiTheme="minorHAnsi" w:cs="Times New Roman"/>
                <w:bCs/>
                <w:sz w:val="22"/>
                <w:szCs w:val="22"/>
              </w:rPr>
              <w:t>Alleg</w:t>
            </w:r>
            <w:r w:rsidRPr="000E2355">
              <w:rPr>
                <w:rFonts w:asciiTheme="minorHAnsi" w:hAnsiTheme="minorHAnsi" w:cs="Times New Roman"/>
                <w:bCs/>
                <w:spacing w:val="-2"/>
                <w:sz w:val="22"/>
                <w:szCs w:val="22"/>
              </w:rPr>
              <w:t>e</w:t>
            </w:r>
            <w:r w:rsidRPr="000E2355">
              <w:rPr>
                <w:rFonts w:asciiTheme="minorHAnsi" w:hAnsiTheme="minorHAnsi" w:cs="Times New Roman"/>
                <w:bCs/>
                <w:sz w:val="22"/>
                <w:szCs w:val="22"/>
              </w:rPr>
              <w:t>ant</w:t>
            </w:r>
          </w:p>
          <w:p w14:paraId="2C0E6867" w14:textId="77777777" w:rsidR="00B77836" w:rsidRPr="000E2355" w:rsidRDefault="00B77836" w:rsidP="00B77836">
            <w:pPr>
              <w:pStyle w:val="BodyText"/>
              <w:numPr>
                <w:ilvl w:val="0"/>
                <w:numId w:val="8"/>
              </w:numPr>
              <w:spacing w:before="2"/>
              <w:ind w:right="105"/>
              <w:rPr>
                <w:rFonts w:asciiTheme="minorHAnsi" w:hAnsiTheme="minorHAnsi"/>
                <w:sz w:val="22"/>
                <w:szCs w:val="22"/>
              </w:rPr>
            </w:pPr>
            <w:r w:rsidRPr="000E2355">
              <w:rPr>
                <w:rFonts w:asciiTheme="minorHAnsi" w:hAnsiTheme="minorHAnsi" w:cs="Times New Roman"/>
                <w:bCs/>
                <w:sz w:val="22"/>
                <w:szCs w:val="22"/>
              </w:rPr>
              <w:t>Balti</w:t>
            </w:r>
            <w:r w:rsidRPr="000E2355">
              <w:rPr>
                <w:rFonts w:asciiTheme="minorHAnsi" w:hAnsiTheme="minorHAnsi" w:cs="Times New Roman"/>
                <w:bCs/>
                <w:spacing w:val="-3"/>
                <w:sz w:val="22"/>
                <w:szCs w:val="22"/>
              </w:rPr>
              <w:t>m</w:t>
            </w:r>
            <w:r w:rsidRPr="000E2355">
              <w:rPr>
                <w:rFonts w:asciiTheme="minorHAnsi" w:hAnsiTheme="minorHAnsi" w:cs="Times New Roman"/>
                <w:bCs/>
                <w:sz w:val="22"/>
                <w:szCs w:val="22"/>
              </w:rPr>
              <w:t>o</w:t>
            </w:r>
            <w:r w:rsidRPr="000E2355">
              <w:rPr>
                <w:rFonts w:asciiTheme="minorHAnsi" w:hAnsiTheme="minorHAnsi" w:cs="Times New Roman"/>
                <w:bCs/>
                <w:spacing w:val="1"/>
                <w:sz w:val="22"/>
                <w:szCs w:val="22"/>
              </w:rPr>
              <w:t>r</w:t>
            </w:r>
            <w:r w:rsidRPr="000E2355">
              <w:rPr>
                <w:rFonts w:asciiTheme="minorHAnsi" w:hAnsiTheme="minorHAnsi" w:cs="Times New Roman"/>
                <w:bCs/>
                <w:sz w:val="22"/>
                <w:szCs w:val="22"/>
              </w:rPr>
              <w:t>e</w:t>
            </w:r>
            <w:r w:rsidRPr="000E2355">
              <w:rPr>
                <w:rFonts w:asciiTheme="minorHAnsi" w:hAnsiTheme="minorHAnsi" w:cs="Times New Roman"/>
                <w:bCs/>
                <w:spacing w:val="-1"/>
                <w:sz w:val="22"/>
                <w:szCs w:val="22"/>
              </w:rPr>
              <w:t xml:space="preserve"> </w:t>
            </w:r>
            <w:r w:rsidRPr="000E2355">
              <w:rPr>
                <w:rFonts w:asciiTheme="minorHAnsi" w:hAnsiTheme="minorHAnsi" w:cs="Times New Roman"/>
                <w:bCs/>
                <w:sz w:val="22"/>
                <w:szCs w:val="22"/>
              </w:rPr>
              <w:t>Cou</w:t>
            </w:r>
            <w:r w:rsidRPr="000E2355">
              <w:rPr>
                <w:rFonts w:asciiTheme="minorHAnsi" w:hAnsiTheme="minorHAnsi" w:cs="Times New Roman"/>
                <w:bCs/>
                <w:spacing w:val="1"/>
                <w:sz w:val="22"/>
                <w:szCs w:val="22"/>
              </w:rPr>
              <w:t>n</w:t>
            </w:r>
            <w:r w:rsidRPr="000E2355">
              <w:rPr>
                <w:rFonts w:asciiTheme="minorHAnsi" w:hAnsiTheme="minorHAnsi" w:cs="Times New Roman"/>
                <w:bCs/>
                <w:sz w:val="22"/>
                <w:szCs w:val="22"/>
              </w:rPr>
              <w:t>ty H</w:t>
            </w:r>
            <w:r w:rsidRPr="000E2355">
              <w:rPr>
                <w:rFonts w:asciiTheme="minorHAnsi" w:hAnsiTheme="minorHAnsi" w:cs="Times New Roman"/>
                <w:bCs/>
                <w:spacing w:val="-2"/>
                <w:sz w:val="22"/>
                <w:szCs w:val="22"/>
              </w:rPr>
              <w:t>e</w:t>
            </w:r>
            <w:r w:rsidRPr="000E2355">
              <w:rPr>
                <w:rFonts w:asciiTheme="minorHAnsi" w:hAnsiTheme="minorHAnsi" w:cs="Times New Roman"/>
                <w:bCs/>
                <w:sz w:val="22"/>
                <w:szCs w:val="22"/>
              </w:rPr>
              <w:t>alth D</w:t>
            </w:r>
            <w:r w:rsidRPr="000E2355">
              <w:rPr>
                <w:rFonts w:asciiTheme="minorHAnsi" w:hAnsiTheme="minorHAnsi" w:cs="Times New Roman"/>
                <w:bCs/>
                <w:spacing w:val="-1"/>
                <w:sz w:val="22"/>
                <w:szCs w:val="22"/>
              </w:rPr>
              <w:t>e</w:t>
            </w:r>
            <w:r w:rsidRPr="000E2355">
              <w:rPr>
                <w:rFonts w:asciiTheme="minorHAnsi" w:hAnsiTheme="minorHAnsi" w:cs="Times New Roman"/>
                <w:bCs/>
                <w:sz w:val="22"/>
                <w:szCs w:val="22"/>
              </w:rPr>
              <w:t>pa</w:t>
            </w:r>
            <w:r w:rsidRPr="000E2355">
              <w:rPr>
                <w:rFonts w:asciiTheme="minorHAnsi" w:hAnsiTheme="minorHAnsi" w:cs="Times New Roman"/>
                <w:bCs/>
                <w:spacing w:val="-1"/>
                <w:sz w:val="22"/>
                <w:szCs w:val="22"/>
              </w:rPr>
              <w:t>r</w:t>
            </w:r>
            <w:r w:rsidRPr="000E2355">
              <w:rPr>
                <w:rFonts w:asciiTheme="minorHAnsi" w:hAnsiTheme="minorHAnsi" w:cs="Times New Roman"/>
                <w:bCs/>
                <w:spacing w:val="1"/>
                <w:sz w:val="22"/>
                <w:szCs w:val="22"/>
              </w:rPr>
              <w:t>t</w:t>
            </w:r>
            <w:r w:rsidRPr="000E2355">
              <w:rPr>
                <w:rFonts w:asciiTheme="minorHAnsi" w:hAnsiTheme="minorHAnsi" w:cs="Times New Roman"/>
                <w:bCs/>
                <w:spacing w:val="-1"/>
                <w:sz w:val="22"/>
                <w:szCs w:val="22"/>
              </w:rPr>
              <w:t>me</w:t>
            </w:r>
            <w:r w:rsidRPr="000E2355">
              <w:rPr>
                <w:rFonts w:asciiTheme="minorHAnsi" w:hAnsiTheme="minorHAnsi" w:cs="Times New Roman"/>
                <w:bCs/>
                <w:sz w:val="22"/>
                <w:szCs w:val="22"/>
              </w:rPr>
              <w:t>nt</w:t>
            </w:r>
            <w:r w:rsidRPr="000E2355">
              <w:rPr>
                <w:rFonts w:asciiTheme="minorHAnsi" w:hAnsiTheme="minorHAnsi"/>
                <w:sz w:val="22"/>
                <w:szCs w:val="22"/>
              </w:rPr>
              <w:t xml:space="preserve"> </w:t>
            </w:r>
          </w:p>
          <w:p w14:paraId="3FC7FF59" w14:textId="77777777" w:rsidR="00B77836" w:rsidRPr="00D676CA" w:rsidRDefault="00B77836" w:rsidP="00B77836">
            <w:pPr>
              <w:pStyle w:val="BodyText"/>
              <w:numPr>
                <w:ilvl w:val="0"/>
                <w:numId w:val="8"/>
              </w:numPr>
              <w:spacing w:before="2"/>
              <w:ind w:right="105"/>
              <w:rPr>
                <w:rFonts w:asciiTheme="minorHAnsi" w:hAnsiTheme="minorHAnsi"/>
                <w:sz w:val="22"/>
                <w:szCs w:val="22"/>
              </w:rPr>
            </w:pPr>
            <w:r w:rsidRPr="000E2355">
              <w:rPr>
                <w:rFonts w:asciiTheme="minorHAnsi" w:hAnsiTheme="minorHAnsi" w:cs="Times New Roman"/>
                <w:bCs/>
                <w:sz w:val="22"/>
                <w:szCs w:val="22"/>
              </w:rPr>
              <w:t>Ca</w:t>
            </w:r>
            <w:r w:rsidRPr="000E2355">
              <w:rPr>
                <w:rFonts w:asciiTheme="minorHAnsi" w:hAnsiTheme="minorHAnsi" w:cs="Times New Roman"/>
                <w:bCs/>
                <w:spacing w:val="-2"/>
                <w:sz w:val="22"/>
                <w:szCs w:val="22"/>
              </w:rPr>
              <w:t>r</w:t>
            </w:r>
            <w:r w:rsidRPr="000E2355">
              <w:rPr>
                <w:rFonts w:asciiTheme="minorHAnsi" w:hAnsiTheme="minorHAnsi" w:cs="Times New Roman"/>
                <w:bCs/>
                <w:sz w:val="22"/>
                <w:szCs w:val="22"/>
              </w:rPr>
              <w:t>e</w:t>
            </w:r>
            <w:r w:rsidRPr="000E2355">
              <w:rPr>
                <w:rFonts w:asciiTheme="minorHAnsi" w:hAnsiTheme="minorHAnsi" w:cs="Times New Roman"/>
                <w:bCs/>
                <w:spacing w:val="1"/>
                <w:sz w:val="22"/>
                <w:szCs w:val="22"/>
              </w:rPr>
              <w:t xml:space="preserve"> </w:t>
            </w:r>
            <w:r w:rsidRPr="000E2355">
              <w:rPr>
                <w:rFonts w:asciiTheme="minorHAnsi" w:hAnsiTheme="minorHAnsi" w:cs="Times New Roman"/>
                <w:bCs/>
                <w:spacing w:val="-3"/>
                <w:sz w:val="22"/>
                <w:szCs w:val="22"/>
              </w:rPr>
              <w:t>P</w:t>
            </w:r>
            <w:r w:rsidRPr="000E2355">
              <w:rPr>
                <w:rFonts w:asciiTheme="minorHAnsi" w:hAnsiTheme="minorHAnsi" w:cs="Times New Roman"/>
                <w:bCs/>
                <w:spacing w:val="-1"/>
                <w:sz w:val="22"/>
                <w:szCs w:val="22"/>
              </w:rPr>
              <w:t>r</w:t>
            </w:r>
            <w:r w:rsidRPr="000E2355">
              <w:rPr>
                <w:rFonts w:asciiTheme="minorHAnsi" w:hAnsiTheme="minorHAnsi" w:cs="Times New Roman"/>
                <w:bCs/>
                <w:sz w:val="22"/>
                <w:szCs w:val="22"/>
              </w:rPr>
              <w:t>o</w:t>
            </w:r>
            <w:r w:rsidRPr="000E2355">
              <w:rPr>
                <w:rFonts w:asciiTheme="minorHAnsi" w:hAnsiTheme="minorHAnsi" w:cs="Times New Roman"/>
                <w:bCs/>
                <w:spacing w:val="2"/>
                <w:sz w:val="22"/>
                <w:szCs w:val="22"/>
              </w:rPr>
              <w:t>g</w:t>
            </w:r>
            <w:r w:rsidRPr="000E2355">
              <w:rPr>
                <w:rFonts w:asciiTheme="minorHAnsi" w:hAnsiTheme="minorHAnsi" w:cs="Times New Roman"/>
                <w:bCs/>
                <w:spacing w:val="-1"/>
                <w:sz w:val="22"/>
                <w:szCs w:val="22"/>
              </w:rPr>
              <w:t>re</w:t>
            </w:r>
            <w:r w:rsidRPr="000E2355">
              <w:rPr>
                <w:rFonts w:asciiTheme="minorHAnsi" w:hAnsiTheme="minorHAnsi" w:cs="Times New Roman"/>
                <w:bCs/>
                <w:sz w:val="22"/>
                <w:szCs w:val="22"/>
              </w:rPr>
              <w:t>ss, LLC</w:t>
            </w:r>
            <w:r w:rsidRPr="000E2355">
              <w:rPr>
                <w:rFonts w:asciiTheme="minorHAnsi" w:hAnsiTheme="minorHAnsi" w:cs="Times New Roman"/>
                <w:bCs/>
                <w:spacing w:val="-1"/>
                <w:sz w:val="22"/>
                <w:szCs w:val="22"/>
              </w:rPr>
              <w:t xml:space="preserve">  </w:t>
            </w:r>
          </w:p>
          <w:p w14:paraId="769BE18E" w14:textId="77777777" w:rsidR="00B77836" w:rsidRPr="000E2355" w:rsidRDefault="00B77836" w:rsidP="00B77836">
            <w:pPr>
              <w:pStyle w:val="BodyText"/>
              <w:numPr>
                <w:ilvl w:val="0"/>
                <w:numId w:val="8"/>
              </w:numPr>
              <w:spacing w:before="2"/>
              <w:ind w:right="105"/>
              <w:rPr>
                <w:rFonts w:asciiTheme="minorHAnsi" w:hAnsiTheme="minorHAnsi"/>
                <w:sz w:val="22"/>
                <w:szCs w:val="22"/>
              </w:rPr>
            </w:pPr>
            <w:r>
              <w:rPr>
                <w:rFonts w:asciiTheme="minorHAnsi" w:hAnsiTheme="minorHAnsi" w:cs="Times New Roman"/>
                <w:bCs/>
                <w:spacing w:val="-1"/>
                <w:sz w:val="22"/>
                <w:szCs w:val="22"/>
              </w:rPr>
              <w:t>Catholic Charities</w:t>
            </w:r>
          </w:p>
          <w:p w14:paraId="5528F7D3" w14:textId="77777777" w:rsidR="00B77836" w:rsidRPr="000E2355" w:rsidRDefault="00B77836" w:rsidP="00B77836">
            <w:pPr>
              <w:pStyle w:val="BodyText"/>
              <w:numPr>
                <w:ilvl w:val="0"/>
                <w:numId w:val="8"/>
              </w:numPr>
              <w:spacing w:before="2"/>
              <w:ind w:right="138"/>
              <w:rPr>
                <w:rFonts w:asciiTheme="minorHAnsi" w:hAnsiTheme="minorHAnsi"/>
                <w:spacing w:val="2"/>
                <w:sz w:val="22"/>
                <w:szCs w:val="22"/>
              </w:rPr>
            </w:pPr>
            <w:r w:rsidRPr="000E2355">
              <w:rPr>
                <w:rFonts w:asciiTheme="minorHAnsi" w:hAnsiTheme="minorHAnsi" w:cs="Times New Roman"/>
                <w:bCs/>
                <w:sz w:val="22"/>
                <w:szCs w:val="22"/>
              </w:rPr>
              <w:t>Ev</w:t>
            </w:r>
            <w:r w:rsidRPr="000E2355">
              <w:rPr>
                <w:rFonts w:asciiTheme="minorHAnsi" w:hAnsiTheme="minorHAnsi" w:cs="Times New Roman"/>
                <w:bCs/>
                <w:spacing w:val="-1"/>
                <w:sz w:val="22"/>
                <w:szCs w:val="22"/>
              </w:rPr>
              <w:t>er</w:t>
            </w:r>
            <w:r w:rsidRPr="000E2355">
              <w:rPr>
                <w:rFonts w:asciiTheme="minorHAnsi" w:hAnsiTheme="minorHAnsi" w:cs="Times New Roman"/>
                <w:bCs/>
                <w:sz w:val="22"/>
                <w:szCs w:val="22"/>
              </w:rPr>
              <w:t>g</w:t>
            </w:r>
            <w:r w:rsidRPr="000E2355">
              <w:rPr>
                <w:rFonts w:asciiTheme="minorHAnsi" w:hAnsiTheme="minorHAnsi" w:cs="Times New Roman"/>
                <w:bCs/>
                <w:spacing w:val="-1"/>
                <w:sz w:val="22"/>
                <w:szCs w:val="22"/>
              </w:rPr>
              <w:t>r</w:t>
            </w:r>
            <w:r w:rsidRPr="000E2355">
              <w:rPr>
                <w:rFonts w:asciiTheme="minorHAnsi" w:hAnsiTheme="minorHAnsi" w:cs="Times New Roman"/>
                <w:bCs/>
                <w:spacing w:val="1"/>
                <w:sz w:val="22"/>
                <w:szCs w:val="22"/>
              </w:rPr>
              <w:t>e</w:t>
            </w:r>
            <w:r w:rsidRPr="000E2355">
              <w:rPr>
                <w:rFonts w:asciiTheme="minorHAnsi" w:hAnsiTheme="minorHAnsi" w:cs="Times New Roman"/>
                <w:bCs/>
                <w:spacing w:val="-1"/>
                <w:sz w:val="22"/>
                <w:szCs w:val="22"/>
              </w:rPr>
              <w:t>e</w:t>
            </w:r>
            <w:r w:rsidRPr="000E2355">
              <w:rPr>
                <w:rFonts w:asciiTheme="minorHAnsi" w:hAnsiTheme="minorHAnsi" w:cs="Times New Roman"/>
                <w:bCs/>
                <w:sz w:val="22"/>
                <w:szCs w:val="22"/>
              </w:rPr>
              <w:t>n Heal</w:t>
            </w:r>
            <w:r w:rsidRPr="000E2355">
              <w:rPr>
                <w:rFonts w:asciiTheme="minorHAnsi" w:hAnsiTheme="minorHAnsi" w:cs="Times New Roman"/>
                <w:bCs/>
                <w:spacing w:val="-1"/>
                <w:sz w:val="22"/>
                <w:szCs w:val="22"/>
              </w:rPr>
              <w:t>t</w:t>
            </w:r>
            <w:r w:rsidRPr="000E2355">
              <w:rPr>
                <w:rFonts w:asciiTheme="minorHAnsi" w:hAnsiTheme="minorHAnsi" w:cs="Times New Roman"/>
                <w:bCs/>
                <w:sz w:val="22"/>
                <w:szCs w:val="22"/>
              </w:rPr>
              <w:t>h</w:t>
            </w:r>
          </w:p>
          <w:p w14:paraId="1FB84195" w14:textId="77777777" w:rsidR="00B77836" w:rsidRPr="000E2355" w:rsidRDefault="00B77836" w:rsidP="00B77836">
            <w:pPr>
              <w:pStyle w:val="BodyText"/>
              <w:numPr>
                <w:ilvl w:val="0"/>
                <w:numId w:val="8"/>
              </w:numPr>
              <w:spacing w:before="3"/>
              <w:ind w:right="215"/>
              <w:rPr>
                <w:rFonts w:asciiTheme="minorHAnsi" w:hAnsiTheme="minorHAnsi"/>
                <w:sz w:val="22"/>
                <w:szCs w:val="22"/>
              </w:rPr>
            </w:pPr>
            <w:r w:rsidRPr="000E2355">
              <w:rPr>
                <w:rFonts w:asciiTheme="minorHAnsi" w:hAnsiTheme="minorHAnsi" w:cs="Times New Roman"/>
                <w:bCs/>
                <w:sz w:val="22"/>
                <w:szCs w:val="22"/>
              </w:rPr>
              <w:t>Heal</w:t>
            </w:r>
            <w:r w:rsidRPr="000E2355">
              <w:rPr>
                <w:rFonts w:asciiTheme="minorHAnsi" w:hAnsiTheme="minorHAnsi" w:cs="Times New Roman"/>
                <w:bCs/>
                <w:spacing w:val="-1"/>
                <w:sz w:val="22"/>
                <w:szCs w:val="22"/>
              </w:rPr>
              <w:t>t</w:t>
            </w:r>
            <w:r w:rsidRPr="000E2355">
              <w:rPr>
                <w:rFonts w:asciiTheme="minorHAnsi" w:hAnsiTheme="minorHAnsi" w:cs="Times New Roman"/>
                <w:bCs/>
                <w:sz w:val="22"/>
                <w:szCs w:val="22"/>
              </w:rPr>
              <w:t>h Ca</w:t>
            </w:r>
            <w:r w:rsidRPr="000E2355">
              <w:rPr>
                <w:rFonts w:asciiTheme="minorHAnsi" w:hAnsiTheme="minorHAnsi" w:cs="Times New Roman"/>
                <w:bCs/>
                <w:spacing w:val="-2"/>
                <w:sz w:val="22"/>
                <w:szCs w:val="22"/>
              </w:rPr>
              <w:t>r</w:t>
            </w:r>
            <w:r w:rsidRPr="000E2355">
              <w:rPr>
                <w:rFonts w:asciiTheme="minorHAnsi" w:hAnsiTheme="minorHAnsi" w:cs="Times New Roman"/>
                <w:bCs/>
                <w:sz w:val="22"/>
                <w:szCs w:val="22"/>
              </w:rPr>
              <w:t>e</w:t>
            </w:r>
            <w:r w:rsidRPr="000E2355">
              <w:rPr>
                <w:rFonts w:asciiTheme="minorHAnsi" w:hAnsiTheme="minorHAnsi" w:cs="Times New Roman"/>
                <w:bCs/>
                <w:spacing w:val="-1"/>
                <w:sz w:val="22"/>
                <w:szCs w:val="22"/>
              </w:rPr>
              <w:t xml:space="preserve"> </w:t>
            </w:r>
            <w:r w:rsidRPr="000E2355">
              <w:rPr>
                <w:rFonts w:asciiTheme="minorHAnsi" w:hAnsiTheme="minorHAnsi" w:cs="Times New Roman"/>
                <w:bCs/>
                <w:spacing w:val="1"/>
                <w:sz w:val="22"/>
                <w:szCs w:val="22"/>
              </w:rPr>
              <w:t>f</w:t>
            </w:r>
            <w:r w:rsidRPr="000E2355">
              <w:rPr>
                <w:rFonts w:asciiTheme="minorHAnsi" w:hAnsiTheme="minorHAnsi" w:cs="Times New Roman"/>
                <w:bCs/>
                <w:sz w:val="22"/>
                <w:szCs w:val="22"/>
              </w:rPr>
              <w:t>or</w:t>
            </w:r>
            <w:r w:rsidRPr="000E2355">
              <w:rPr>
                <w:rFonts w:asciiTheme="minorHAnsi" w:hAnsiTheme="minorHAnsi" w:cs="Times New Roman"/>
                <w:bCs/>
                <w:spacing w:val="-1"/>
                <w:sz w:val="22"/>
                <w:szCs w:val="22"/>
              </w:rPr>
              <w:t xml:space="preserve"> </w:t>
            </w:r>
            <w:r w:rsidRPr="000E2355">
              <w:rPr>
                <w:rFonts w:asciiTheme="minorHAnsi" w:hAnsiTheme="minorHAnsi" w:cs="Times New Roman"/>
                <w:bCs/>
                <w:sz w:val="22"/>
                <w:szCs w:val="22"/>
              </w:rPr>
              <w:t>All C</w:t>
            </w:r>
            <w:r w:rsidRPr="000E2355">
              <w:rPr>
                <w:rFonts w:asciiTheme="minorHAnsi" w:hAnsiTheme="minorHAnsi" w:cs="Times New Roman"/>
                <w:bCs/>
                <w:spacing w:val="2"/>
                <w:sz w:val="22"/>
                <w:szCs w:val="22"/>
              </w:rPr>
              <w:t>o</w:t>
            </w:r>
            <w:r w:rsidRPr="000E2355">
              <w:rPr>
                <w:rFonts w:asciiTheme="minorHAnsi" w:hAnsiTheme="minorHAnsi" w:cs="Times New Roman"/>
                <w:bCs/>
                <w:sz w:val="22"/>
                <w:szCs w:val="22"/>
              </w:rPr>
              <w:t>alition</w:t>
            </w:r>
          </w:p>
          <w:p w14:paraId="7AB8A221" w14:textId="77777777" w:rsidR="00B77836" w:rsidRPr="000E2355" w:rsidRDefault="00B77836" w:rsidP="00B77836">
            <w:pPr>
              <w:pStyle w:val="BodyText"/>
              <w:numPr>
                <w:ilvl w:val="0"/>
                <w:numId w:val="8"/>
              </w:numPr>
              <w:spacing w:before="7"/>
              <w:ind w:right="56"/>
              <w:rPr>
                <w:rFonts w:asciiTheme="minorHAnsi" w:hAnsiTheme="minorHAnsi"/>
                <w:sz w:val="22"/>
                <w:szCs w:val="22"/>
              </w:rPr>
            </w:pPr>
            <w:r w:rsidRPr="000E2355">
              <w:rPr>
                <w:rFonts w:asciiTheme="minorHAnsi" w:hAnsiTheme="minorHAnsi" w:cs="Times New Roman"/>
                <w:bCs/>
                <w:spacing w:val="-2"/>
                <w:sz w:val="22"/>
                <w:szCs w:val="22"/>
              </w:rPr>
              <w:t>K</w:t>
            </w:r>
            <w:r w:rsidRPr="000E2355">
              <w:rPr>
                <w:rFonts w:asciiTheme="minorHAnsi" w:hAnsiTheme="minorHAnsi" w:cs="Times New Roman"/>
                <w:bCs/>
                <w:spacing w:val="-1"/>
                <w:sz w:val="22"/>
                <w:szCs w:val="22"/>
              </w:rPr>
              <w:t>e</w:t>
            </w:r>
            <w:r w:rsidRPr="000E2355">
              <w:rPr>
                <w:rFonts w:asciiTheme="minorHAnsi" w:hAnsiTheme="minorHAnsi" w:cs="Times New Roman"/>
                <w:bCs/>
                <w:sz w:val="22"/>
                <w:szCs w:val="22"/>
              </w:rPr>
              <w:t>s</w:t>
            </w:r>
            <w:r w:rsidRPr="000E2355">
              <w:rPr>
                <w:rFonts w:asciiTheme="minorHAnsi" w:hAnsiTheme="minorHAnsi" w:cs="Times New Roman"/>
                <w:bCs/>
                <w:spacing w:val="1"/>
                <w:sz w:val="22"/>
                <w:szCs w:val="22"/>
              </w:rPr>
              <w:t>w</w:t>
            </w:r>
            <w:r w:rsidRPr="000E2355">
              <w:rPr>
                <w:rFonts w:asciiTheme="minorHAnsi" w:hAnsiTheme="minorHAnsi" w:cs="Times New Roman"/>
                <w:bCs/>
                <w:sz w:val="22"/>
                <w:szCs w:val="22"/>
              </w:rPr>
              <w:t>ick Multi</w:t>
            </w:r>
            <w:r w:rsidRPr="000E2355">
              <w:rPr>
                <w:rFonts w:asciiTheme="minorHAnsi" w:hAnsiTheme="minorHAnsi" w:cs="Times New Roman"/>
                <w:bCs/>
                <w:spacing w:val="-1"/>
                <w:sz w:val="22"/>
                <w:szCs w:val="22"/>
              </w:rPr>
              <w:t>-</w:t>
            </w:r>
            <w:r w:rsidRPr="000E2355">
              <w:rPr>
                <w:rFonts w:asciiTheme="minorHAnsi" w:hAnsiTheme="minorHAnsi" w:cs="Times New Roman"/>
                <w:bCs/>
                <w:sz w:val="22"/>
                <w:szCs w:val="22"/>
              </w:rPr>
              <w:t>Ca</w:t>
            </w:r>
            <w:r w:rsidRPr="000E2355">
              <w:rPr>
                <w:rFonts w:asciiTheme="minorHAnsi" w:hAnsiTheme="minorHAnsi" w:cs="Times New Roman"/>
                <w:bCs/>
                <w:spacing w:val="-2"/>
                <w:sz w:val="22"/>
                <w:szCs w:val="22"/>
              </w:rPr>
              <w:t>r</w:t>
            </w:r>
            <w:r w:rsidRPr="000E2355">
              <w:rPr>
                <w:rFonts w:asciiTheme="minorHAnsi" w:hAnsiTheme="minorHAnsi" w:cs="Times New Roman"/>
                <w:bCs/>
                <w:sz w:val="22"/>
                <w:szCs w:val="22"/>
              </w:rPr>
              <w:t>e</w:t>
            </w:r>
            <w:r w:rsidRPr="000E2355">
              <w:rPr>
                <w:rFonts w:asciiTheme="minorHAnsi" w:hAnsiTheme="minorHAnsi" w:cs="Times New Roman"/>
                <w:bCs/>
                <w:spacing w:val="1"/>
                <w:sz w:val="22"/>
                <w:szCs w:val="22"/>
              </w:rPr>
              <w:t xml:space="preserve"> </w:t>
            </w:r>
            <w:r w:rsidRPr="000E2355">
              <w:rPr>
                <w:rFonts w:asciiTheme="minorHAnsi" w:hAnsiTheme="minorHAnsi" w:cs="Times New Roman"/>
                <w:bCs/>
                <w:sz w:val="22"/>
                <w:szCs w:val="22"/>
              </w:rPr>
              <w:t>Cent</w:t>
            </w:r>
            <w:r w:rsidRPr="000E2355">
              <w:rPr>
                <w:rFonts w:asciiTheme="minorHAnsi" w:hAnsiTheme="minorHAnsi" w:cs="Times New Roman"/>
                <w:bCs/>
                <w:spacing w:val="-2"/>
                <w:sz w:val="22"/>
                <w:szCs w:val="22"/>
              </w:rPr>
              <w:t>e</w:t>
            </w:r>
            <w:r w:rsidRPr="000E2355">
              <w:rPr>
                <w:rFonts w:asciiTheme="minorHAnsi" w:hAnsiTheme="minorHAnsi" w:cs="Times New Roman"/>
                <w:bCs/>
                <w:spacing w:val="-1"/>
                <w:sz w:val="22"/>
                <w:szCs w:val="22"/>
              </w:rPr>
              <w:t>r</w:t>
            </w:r>
            <w:r w:rsidRPr="000E2355">
              <w:rPr>
                <w:rFonts w:asciiTheme="minorHAnsi" w:hAnsiTheme="minorHAnsi" w:cs="Times New Roman"/>
                <w:bCs/>
                <w:sz w:val="22"/>
                <w:szCs w:val="22"/>
              </w:rPr>
              <w:t xml:space="preserve"> </w:t>
            </w:r>
          </w:p>
          <w:p w14:paraId="1830C440" w14:textId="77777777" w:rsidR="00B77836" w:rsidRPr="000E2355" w:rsidRDefault="00B77836" w:rsidP="00B77836">
            <w:pPr>
              <w:pStyle w:val="BodyText"/>
              <w:numPr>
                <w:ilvl w:val="0"/>
                <w:numId w:val="8"/>
              </w:numPr>
              <w:spacing w:before="3"/>
              <w:ind w:right="138"/>
              <w:rPr>
                <w:rFonts w:asciiTheme="minorHAnsi" w:hAnsiTheme="minorHAnsi"/>
                <w:sz w:val="22"/>
                <w:szCs w:val="22"/>
              </w:rPr>
            </w:pPr>
            <w:r w:rsidRPr="000E2355">
              <w:rPr>
                <w:rFonts w:asciiTheme="minorHAnsi" w:hAnsiTheme="minorHAnsi" w:cs="Times New Roman"/>
                <w:bCs/>
                <w:spacing w:val="-2"/>
                <w:sz w:val="22"/>
                <w:szCs w:val="22"/>
              </w:rPr>
              <w:t>K</w:t>
            </w:r>
            <w:r w:rsidRPr="000E2355">
              <w:rPr>
                <w:rFonts w:asciiTheme="minorHAnsi" w:hAnsiTheme="minorHAnsi" w:cs="Times New Roman"/>
                <w:bCs/>
                <w:sz w:val="22"/>
                <w:szCs w:val="22"/>
              </w:rPr>
              <w:t>o</w:t>
            </w:r>
            <w:r w:rsidRPr="000E2355">
              <w:rPr>
                <w:rFonts w:asciiTheme="minorHAnsi" w:hAnsiTheme="minorHAnsi" w:cs="Times New Roman"/>
                <w:bCs/>
                <w:spacing w:val="2"/>
                <w:sz w:val="22"/>
                <w:szCs w:val="22"/>
              </w:rPr>
              <w:t>l</w:t>
            </w:r>
            <w:r w:rsidRPr="000E2355">
              <w:rPr>
                <w:rFonts w:asciiTheme="minorHAnsi" w:hAnsiTheme="minorHAnsi" w:cs="Times New Roman"/>
                <w:bCs/>
                <w:spacing w:val="-4"/>
                <w:sz w:val="22"/>
                <w:szCs w:val="22"/>
              </w:rPr>
              <w:t>m</w:t>
            </w:r>
            <w:r w:rsidRPr="000E2355">
              <w:rPr>
                <w:rFonts w:asciiTheme="minorHAnsi" w:hAnsiTheme="minorHAnsi" w:cs="Times New Roman"/>
                <w:bCs/>
                <w:sz w:val="22"/>
                <w:szCs w:val="22"/>
              </w:rPr>
              <w:t>ac</w:t>
            </w:r>
            <w:r w:rsidRPr="000E2355">
              <w:rPr>
                <w:rFonts w:asciiTheme="minorHAnsi" w:hAnsiTheme="minorHAnsi" w:cs="Times New Roman"/>
                <w:bCs/>
                <w:spacing w:val="1"/>
                <w:sz w:val="22"/>
                <w:szCs w:val="22"/>
              </w:rPr>
              <w:t xml:space="preserve"> </w:t>
            </w:r>
            <w:r w:rsidRPr="000E2355">
              <w:rPr>
                <w:rFonts w:asciiTheme="minorHAnsi" w:hAnsiTheme="minorHAnsi" w:cs="Times New Roman"/>
                <w:bCs/>
                <w:sz w:val="22"/>
                <w:szCs w:val="22"/>
              </w:rPr>
              <w:t>Cli</w:t>
            </w:r>
            <w:r w:rsidRPr="000E2355">
              <w:rPr>
                <w:rFonts w:asciiTheme="minorHAnsi" w:hAnsiTheme="minorHAnsi" w:cs="Times New Roman"/>
                <w:bCs/>
                <w:spacing w:val="1"/>
                <w:sz w:val="22"/>
                <w:szCs w:val="22"/>
              </w:rPr>
              <w:t>n</w:t>
            </w:r>
            <w:r w:rsidRPr="000E2355">
              <w:rPr>
                <w:rFonts w:asciiTheme="minorHAnsi" w:hAnsiTheme="minorHAnsi" w:cs="Times New Roman"/>
                <w:bCs/>
                <w:sz w:val="22"/>
                <w:szCs w:val="22"/>
              </w:rPr>
              <w:t>ic</w:t>
            </w:r>
          </w:p>
          <w:p w14:paraId="21E59342" w14:textId="77777777" w:rsidR="00B77836" w:rsidRPr="000E2355" w:rsidRDefault="00B77836" w:rsidP="00B77836">
            <w:pPr>
              <w:pStyle w:val="BodyText"/>
              <w:numPr>
                <w:ilvl w:val="0"/>
                <w:numId w:val="8"/>
              </w:numPr>
              <w:spacing w:before="6"/>
              <w:ind w:right="128"/>
              <w:rPr>
                <w:rFonts w:asciiTheme="minorHAnsi" w:hAnsiTheme="minorHAnsi"/>
                <w:sz w:val="22"/>
                <w:szCs w:val="22"/>
              </w:rPr>
            </w:pPr>
            <w:r w:rsidRPr="000E2355">
              <w:rPr>
                <w:rFonts w:asciiTheme="minorHAnsi" w:hAnsiTheme="minorHAnsi" w:cs="Times New Roman"/>
                <w:bCs/>
                <w:spacing w:val="-1"/>
                <w:sz w:val="22"/>
                <w:szCs w:val="22"/>
              </w:rPr>
              <w:t>M</w:t>
            </w:r>
            <w:r w:rsidRPr="000E2355">
              <w:rPr>
                <w:rFonts w:asciiTheme="minorHAnsi" w:hAnsiTheme="minorHAnsi" w:cs="Times New Roman"/>
                <w:bCs/>
                <w:sz w:val="22"/>
                <w:szCs w:val="22"/>
              </w:rPr>
              <w:t>osaic</w:t>
            </w:r>
            <w:r w:rsidRPr="000E2355">
              <w:rPr>
                <w:rFonts w:asciiTheme="minorHAnsi" w:hAnsiTheme="minorHAnsi" w:cs="Times New Roman"/>
                <w:bCs/>
                <w:spacing w:val="-1"/>
                <w:sz w:val="22"/>
                <w:szCs w:val="22"/>
              </w:rPr>
              <w:t xml:space="preserve"> c</w:t>
            </w:r>
            <w:r w:rsidRPr="000E2355">
              <w:rPr>
                <w:rFonts w:asciiTheme="minorHAnsi" w:hAnsiTheme="minorHAnsi" w:cs="Times New Roman"/>
                <w:bCs/>
                <w:spacing w:val="2"/>
                <w:sz w:val="22"/>
                <w:szCs w:val="22"/>
              </w:rPr>
              <w:t>o</w:t>
            </w:r>
            <w:r w:rsidRPr="000E2355">
              <w:rPr>
                <w:rFonts w:asciiTheme="minorHAnsi" w:hAnsiTheme="minorHAnsi" w:cs="Times New Roman"/>
                <w:bCs/>
                <w:spacing w:val="-1"/>
                <w:sz w:val="22"/>
                <w:szCs w:val="22"/>
              </w:rPr>
              <w:t>m</w:t>
            </w:r>
            <w:r w:rsidRPr="000E2355">
              <w:rPr>
                <w:rFonts w:asciiTheme="minorHAnsi" w:hAnsiTheme="minorHAnsi" w:cs="Times New Roman"/>
                <w:bCs/>
                <w:spacing w:val="-4"/>
                <w:sz w:val="22"/>
                <w:szCs w:val="22"/>
              </w:rPr>
              <w:t>m</w:t>
            </w:r>
            <w:r w:rsidRPr="000E2355">
              <w:rPr>
                <w:rFonts w:asciiTheme="minorHAnsi" w:hAnsiTheme="minorHAnsi" w:cs="Times New Roman"/>
                <w:bCs/>
                <w:sz w:val="22"/>
                <w:szCs w:val="22"/>
              </w:rPr>
              <w:t>unity services</w:t>
            </w:r>
          </w:p>
          <w:p w14:paraId="680B095B" w14:textId="77777777" w:rsidR="00B77836" w:rsidRDefault="00B77836" w:rsidP="00B77836">
            <w:pPr>
              <w:pStyle w:val="BodyText"/>
              <w:numPr>
                <w:ilvl w:val="0"/>
                <w:numId w:val="8"/>
              </w:numPr>
              <w:spacing w:before="6"/>
              <w:ind w:right="128"/>
              <w:rPr>
                <w:rFonts w:asciiTheme="minorHAnsi" w:hAnsiTheme="minorHAnsi"/>
                <w:sz w:val="22"/>
                <w:szCs w:val="22"/>
              </w:rPr>
            </w:pPr>
            <w:r w:rsidRPr="000E2355">
              <w:rPr>
                <w:rFonts w:asciiTheme="minorHAnsi" w:hAnsiTheme="minorHAnsi"/>
                <w:sz w:val="22"/>
                <w:szCs w:val="22"/>
              </w:rPr>
              <w:t>Med</w:t>
            </w:r>
            <w:r>
              <w:rPr>
                <w:rFonts w:asciiTheme="minorHAnsi" w:hAnsiTheme="minorHAnsi"/>
                <w:sz w:val="22"/>
                <w:szCs w:val="22"/>
              </w:rPr>
              <w:t>S</w:t>
            </w:r>
            <w:r w:rsidRPr="000E2355">
              <w:rPr>
                <w:rFonts w:asciiTheme="minorHAnsi" w:hAnsiTheme="minorHAnsi"/>
                <w:sz w:val="22"/>
                <w:szCs w:val="22"/>
              </w:rPr>
              <w:t>tar</w:t>
            </w:r>
          </w:p>
          <w:p w14:paraId="3F509D86" w14:textId="0B4EC5E8" w:rsidR="004E2FD9" w:rsidRPr="00B77836" w:rsidRDefault="00B77836" w:rsidP="00B77836">
            <w:pPr>
              <w:pStyle w:val="BodyText"/>
              <w:numPr>
                <w:ilvl w:val="0"/>
                <w:numId w:val="8"/>
              </w:numPr>
              <w:spacing w:before="6"/>
              <w:ind w:right="128"/>
              <w:rPr>
                <w:rFonts w:asciiTheme="minorHAnsi" w:hAnsiTheme="minorHAnsi"/>
                <w:sz w:val="22"/>
                <w:szCs w:val="22"/>
              </w:rPr>
            </w:pPr>
            <w:r w:rsidRPr="00B77836">
              <w:rPr>
                <w:rFonts w:asciiTheme="minorHAnsi" w:hAnsiTheme="minorHAnsi" w:cs="Times New Roman"/>
                <w:bCs/>
                <w:spacing w:val="-1"/>
                <w:sz w:val="22"/>
                <w:szCs w:val="22"/>
              </w:rPr>
              <w:t>Sheppard Pratt Health System</w:t>
            </w:r>
          </w:p>
        </w:tc>
      </w:tr>
    </w:tbl>
    <w:p w14:paraId="511E439E" w14:textId="77777777" w:rsidR="007B52B7" w:rsidRDefault="007B52B7" w:rsidP="007B52B7">
      <w:pPr>
        <w:pStyle w:val="Heading1"/>
      </w:pPr>
      <w:r w:rsidRPr="007B52B7">
        <w:rPr>
          <w:rStyle w:val="Heading1Char"/>
        </w:rPr>
        <w:t>Overall Summary of Regional Partnership Activities in FY 2018</w:t>
      </w:r>
      <w:r>
        <w:t xml:space="preserve"> </w:t>
      </w:r>
    </w:p>
    <w:p w14:paraId="1114E7C2" w14:textId="77777777" w:rsidR="0077713E" w:rsidRDefault="007B52B7">
      <w:r>
        <w:t>(Free Response: 1-3 Paragraphs):</w:t>
      </w:r>
    </w:p>
    <w:p w14:paraId="6455E6B9" w14:textId="310B4BB7" w:rsidR="00B77836" w:rsidRPr="00B77836" w:rsidRDefault="00B77836" w:rsidP="00B77836">
      <w:pPr>
        <w:widowControl w:val="0"/>
        <w:spacing w:after="0" w:line="240" w:lineRule="auto"/>
      </w:pPr>
      <w:r w:rsidRPr="00B77836">
        <w:rPr>
          <w:rFonts w:eastAsia="Times New Roman" w:cs="Times New Roman"/>
          <w:b/>
          <w:spacing w:val="4"/>
        </w:rPr>
        <w:t>The Behavioral Health Enhanced Patient-Centered Medical Home (BHE-PCMH)</w:t>
      </w:r>
      <w:r w:rsidRPr="00B77836">
        <w:rPr>
          <w:rFonts w:eastAsia="Times New Roman" w:cs="Times New Roman"/>
          <w:spacing w:val="4"/>
        </w:rPr>
        <w:t xml:space="preserve"> </w:t>
      </w:r>
      <w:r w:rsidR="008E1997">
        <w:rPr>
          <w:rFonts w:eastAsia="Times New Roman" w:cs="Times New Roman"/>
          <w:spacing w:val="4"/>
        </w:rPr>
        <w:t>–</w:t>
      </w:r>
      <w:r w:rsidRPr="00B77836">
        <w:rPr>
          <w:rFonts w:eastAsia="Times New Roman" w:cs="Times New Roman"/>
          <w:spacing w:val="4"/>
        </w:rPr>
        <w:t xml:space="preserve"> </w:t>
      </w:r>
      <w:r w:rsidRPr="00FD3CBA">
        <w:t>Th</w:t>
      </w:r>
      <w:r w:rsidR="008E1997">
        <w:t xml:space="preserve">is initiative </w:t>
      </w:r>
      <w:r w:rsidRPr="00FD3CBA">
        <w:lastRenderedPageBreak/>
        <w:t>builds upon</w:t>
      </w:r>
      <w:r w:rsidRPr="00B77836">
        <w:rPr>
          <w:spacing w:val="1"/>
        </w:rPr>
        <w:t xml:space="preserve"> the</w:t>
      </w:r>
      <w:r w:rsidRPr="00B77836">
        <w:rPr>
          <w:spacing w:val="2"/>
        </w:rPr>
        <w:t xml:space="preserve"> </w:t>
      </w:r>
      <w:r w:rsidRPr="00FD3CBA">
        <w:t>p</w:t>
      </w:r>
      <w:r w:rsidRPr="00B77836">
        <w:rPr>
          <w:spacing w:val="-1"/>
        </w:rPr>
        <w:t>a</w:t>
      </w:r>
      <w:r w:rsidRPr="00FD3CBA">
        <w:t>ti</w:t>
      </w:r>
      <w:r w:rsidRPr="00B77836">
        <w:rPr>
          <w:spacing w:val="-1"/>
        </w:rPr>
        <w:t>e</w:t>
      </w:r>
      <w:r w:rsidRPr="00FD3CBA">
        <w:t>n</w:t>
      </w:r>
      <w:r w:rsidRPr="00B77836">
        <w:rPr>
          <w:spacing w:val="1"/>
        </w:rPr>
        <w:t>t</w:t>
      </w:r>
      <w:r w:rsidRPr="00B77836">
        <w:rPr>
          <w:spacing w:val="-1"/>
        </w:rPr>
        <w:t>-ce</w:t>
      </w:r>
      <w:r w:rsidRPr="00FD3CBA">
        <w:t>nt</w:t>
      </w:r>
      <w:r w:rsidRPr="00B77836">
        <w:rPr>
          <w:spacing w:val="1"/>
        </w:rPr>
        <w:t>e</w:t>
      </w:r>
      <w:r w:rsidRPr="00FD3CBA">
        <w:t>r</w:t>
      </w:r>
      <w:r w:rsidRPr="00B77836">
        <w:rPr>
          <w:spacing w:val="-2"/>
        </w:rPr>
        <w:t>e</w:t>
      </w:r>
      <w:r w:rsidRPr="00FD3CBA">
        <w:t>d medi</w:t>
      </w:r>
      <w:r w:rsidRPr="00B77836">
        <w:rPr>
          <w:spacing w:val="-1"/>
        </w:rPr>
        <w:t>ca</w:t>
      </w:r>
      <w:r w:rsidRPr="00FD3CBA">
        <w:t>l home</w:t>
      </w:r>
      <w:r w:rsidRPr="00B77836">
        <w:rPr>
          <w:spacing w:val="-1"/>
        </w:rPr>
        <w:t xml:space="preserve"> </w:t>
      </w:r>
      <w:r w:rsidRPr="00FD3CBA">
        <w:t>model operating in GBMC’s p</w:t>
      </w:r>
      <w:r w:rsidRPr="00B77836">
        <w:rPr>
          <w:spacing w:val="-2"/>
        </w:rPr>
        <w:t>r</w:t>
      </w:r>
      <w:r w:rsidRPr="00FD3CBA">
        <w:t>im</w:t>
      </w:r>
      <w:r w:rsidRPr="00B77836">
        <w:rPr>
          <w:spacing w:val="-1"/>
        </w:rPr>
        <w:t>a</w:t>
      </w:r>
      <w:r w:rsidRPr="00B77836">
        <w:rPr>
          <w:spacing w:val="3"/>
        </w:rPr>
        <w:t>r</w:t>
      </w:r>
      <w:r w:rsidRPr="00FD3CBA">
        <w:t>y</w:t>
      </w:r>
      <w:r w:rsidRPr="00B77836">
        <w:rPr>
          <w:spacing w:val="-5"/>
        </w:rPr>
        <w:t xml:space="preserve"> </w:t>
      </w:r>
      <w:r w:rsidRPr="00B77836">
        <w:rPr>
          <w:spacing w:val="1"/>
        </w:rPr>
        <w:t>c</w:t>
      </w:r>
      <w:r w:rsidRPr="00B77836">
        <w:rPr>
          <w:spacing w:val="-1"/>
        </w:rPr>
        <w:t>a</w:t>
      </w:r>
      <w:r w:rsidRPr="00FD3CBA">
        <w:t>re</w:t>
      </w:r>
      <w:r w:rsidRPr="00B77836">
        <w:rPr>
          <w:spacing w:val="-2"/>
        </w:rPr>
        <w:t xml:space="preserve"> </w:t>
      </w:r>
      <w:r w:rsidRPr="00B77836">
        <w:rPr>
          <w:spacing w:val="2"/>
        </w:rPr>
        <w:t>p</w:t>
      </w:r>
      <w:r w:rsidRPr="00FD3CBA">
        <w:t>r</w:t>
      </w:r>
      <w:r w:rsidRPr="00B77836">
        <w:rPr>
          <w:spacing w:val="-2"/>
        </w:rPr>
        <w:t>a</w:t>
      </w:r>
      <w:r w:rsidRPr="00B77836">
        <w:rPr>
          <w:spacing w:val="-1"/>
        </w:rPr>
        <w:t>c</w:t>
      </w:r>
      <w:r w:rsidRPr="00FD3CBA">
        <w:t>ti</w:t>
      </w:r>
      <w:r w:rsidRPr="00B77836">
        <w:rPr>
          <w:spacing w:val="1"/>
        </w:rPr>
        <w:t>ce</w:t>
      </w:r>
      <w:r w:rsidRPr="00B77836">
        <w:rPr>
          <w:spacing w:val="2"/>
        </w:rPr>
        <w:t>s</w:t>
      </w:r>
      <w:r w:rsidRPr="00FD3CBA">
        <w:t xml:space="preserve"> by</w:t>
      </w:r>
      <w:r w:rsidR="008E1997">
        <w:t xml:space="preserve"> embedding </w:t>
      </w:r>
      <w:r w:rsidRPr="00FD3CBA">
        <w:t>mental health professional</w:t>
      </w:r>
      <w:r w:rsidR="008E1997">
        <w:t xml:space="preserve">s in the practices.  </w:t>
      </w:r>
      <w:r w:rsidR="002E4E6E">
        <w:t>In partnership with Sheppard Pratt, m</w:t>
      </w:r>
      <w:r w:rsidR="008E1997">
        <w:t>ental health professionals</w:t>
      </w:r>
      <w:r w:rsidR="002E4E6E">
        <w:t xml:space="preserve"> are embedded</w:t>
      </w:r>
      <w:r w:rsidR="008E1997">
        <w:t xml:space="preserve"> in the</w:t>
      </w:r>
      <w:r w:rsidR="002E4E6E">
        <w:t xml:space="preserve"> GBMC</w:t>
      </w:r>
      <w:r w:rsidR="008E1997">
        <w:t xml:space="preserve"> primary care practices</w:t>
      </w:r>
      <w:r w:rsidR="002E4E6E">
        <w:t>, which</w:t>
      </w:r>
      <w:r w:rsidR="008E1997">
        <w:t xml:space="preserve"> provides for r</w:t>
      </w:r>
      <w:r w:rsidRPr="00FD3CBA">
        <w:t xml:space="preserve">eady access to </w:t>
      </w:r>
      <w:r w:rsidR="008E1997">
        <w:t xml:space="preserve">behavioral health consultants and </w:t>
      </w:r>
      <w:r w:rsidRPr="00FD3CBA">
        <w:t>psychiatric consultation services</w:t>
      </w:r>
      <w:r>
        <w:t xml:space="preserve">. </w:t>
      </w:r>
      <w:r w:rsidR="002E4E6E">
        <w:t>The initiative also in</w:t>
      </w:r>
      <w:r w:rsidRPr="00FD3CBA">
        <w:t xml:space="preserve">tegrates behavioral health resources into </w:t>
      </w:r>
      <w:r w:rsidR="002E4E6E">
        <w:t xml:space="preserve">the inpatient setting by providing </w:t>
      </w:r>
      <w:r w:rsidR="002E4E6E">
        <w:rPr>
          <w:rFonts w:eastAsia="Times New Roman" w:cs="Times New Roman"/>
        </w:rPr>
        <w:t>p</w:t>
      </w:r>
      <w:r w:rsidRPr="00FD3CBA">
        <w:rPr>
          <w:rFonts w:eastAsia="Times New Roman" w:cs="Times New Roman"/>
        </w:rPr>
        <w:t xml:space="preserve">sychiatric consultation </w:t>
      </w:r>
      <w:r w:rsidR="002E4E6E">
        <w:rPr>
          <w:rFonts w:eastAsia="Times New Roman" w:cs="Times New Roman"/>
        </w:rPr>
        <w:t xml:space="preserve">and post-discharge </w:t>
      </w:r>
      <w:r>
        <w:rPr>
          <w:rFonts w:eastAsia="Times New Roman" w:cs="Times New Roman"/>
        </w:rPr>
        <w:t xml:space="preserve">mental health </w:t>
      </w:r>
      <w:r w:rsidR="002E4E6E">
        <w:rPr>
          <w:rFonts w:eastAsia="Times New Roman" w:cs="Times New Roman"/>
        </w:rPr>
        <w:t>and community linkage support</w:t>
      </w:r>
      <w:r>
        <w:rPr>
          <w:rFonts w:eastAsia="Times New Roman" w:cs="Times New Roman"/>
        </w:rPr>
        <w:t>.</w:t>
      </w:r>
      <w:r w:rsidRPr="00FD3CBA">
        <w:rPr>
          <w:rFonts w:eastAsia="Times New Roman" w:cs="Times New Roman"/>
        </w:rPr>
        <w:t xml:space="preserve"> </w:t>
      </w:r>
    </w:p>
    <w:p w14:paraId="2C168308" w14:textId="77777777" w:rsidR="00B77836" w:rsidRDefault="00B77836" w:rsidP="00B77836">
      <w:pPr>
        <w:widowControl w:val="0"/>
        <w:spacing w:after="0" w:line="240" w:lineRule="auto"/>
        <w:rPr>
          <w:rFonts w:eastAsia="Times New Roman" w:cs="Times New Roman"/>
          <w:b/>
          <w:spacing w:val="4"/>
        </w:rPr>
      </w:pPr>
    </w:p>
    <w:p w14:paraId="4E81362D" w14:textId="51EE173C" w:rsidR="00B77836" w:rsidRPr="00FD3CBA" w:rsidRDefault="00B77836" w:rsidP="00B77836">
      <w:pPr>
        <w:widowControl w:val="0"/>
        <w:spacing w:after="0" w:line="240" w:lineRule="auto"/>
      </w:pPr>
      <w:r w:rsidRPr="00B77836">
        <w:rPr>
          <w:rFonts w:eastAsia="Times New Roman" w:cs="Times New Roman"/>
          <w:b/>
          <w:spacing w:val="4"/>
        </w:rPr>
        <w:t xml:space="preserve">Palliative Care and </w:t>
      </w:r>
      <w:r w:rsidR="001062B6">
        <w:rPr>
          <w:rFonts w:eastAsia="Times New Roman" w:cs="Times New Roman"/>
          <w:b/>
          <w:spacing w:val="4"/>
        </w:rPr>
        <w:t xml:space="preserve">Elder Medical Care (formerly </w:t>
      </w:r>
      <w:r w:rsidRPr="00B77836">
        <w:rPr>
          <w:rFonts w:eastAsia="Times New Roman" w:cs="Times New Roman"/>
          <w:b/>
          <w:spacing w:val="4"/>
        </w:rPr>
        <w:t>Support Our Elders</w:t>
      </w:r>
      <w:r w:rsidR="001062B6">
        <w:rPr>
          <w:rFonts w:eastAsia="Times New Roman" w:cs="Times New Roman"/>
          <w:b/>
          <w:spacing w:val="4"/>
        </w:rPr>
        <w:t>)</w:t>
      </w:r>
      <w:r w:rsidR="002E4E6E">
        <w:rPr>
          <w:rFonts w:eastAsia="Times New Roman" w:cs="Times New Roman"/>
          <w:b/>
          <w:spacing w:val="4"/>
        </w:rPr>
        <w:t xml:space="preserve"> </w:t>
      </w:r>
      <w:r w:rsidR="002E4E6E">
        <w:rPr>
          <w:rFonts w:eastAsia="Times New Roman" w:cs="Times New Roman"/>
          <w:spacing w:val="4"/>
        </w:rPr>
        <w:t xml:space="preserve">– This initiative is supported by a strong </w:t>
      </w:r>
      <w:r w:rsidRPr="00B77836">
        <w:rPr>
          <w:rFonts w:eastAsia="Times New Roman" w:cs="Times New Roman"/>
          <w:spacing w:val="4"/>
        </w:rPr>
        <w:t xml:space="preserve">partnership </w:t>
      </w:r>
      <w:r w:rsidR="002E4E6E">
        <w:rPr>
          <w:rFonts w:eastAsia="Times New Roman" w:cs="Times New Roman"/>
          <w:spacing w:val="4"/>
        </w:rPr>
        <w:t xml:space="preserve">between </w:t>
      </w:r>
      <w:r w:rsidRPr="00B77836">
        <w:rPr>
          <w:rFonts w:eastAsia="Times New Roman" w:cs="Times New Roman"/>
          <w:spacing w:val="4"/>
        </w:rPr>
        <w:t xml:space="preserve">Gilchrist and MedStar, </w:t>
      </w:r>
      <w:r w:rsidR="002E4E6E">
        <w:rPr>
          <w:rFonts w:eastAsia="Times New Roman" w:cs="Times New Roman"/>
          <w:spacing w:val="4"/>
        </w:rPr>
        <w:t xml:space="preserve">where patients with advanced and complex chronic disease are provided with clinical and social support in their homes, whether in independent living or in a facility-based environment. This program </w:t>
      </w:r>
      <w:r w:rsidRPr="00B77836">
        <w:rPr>
          <w:rFonts w:eastAsia="Times New Roman" w:cs="Times New Roman"/>
          <w:spacing w:val="4"/>
        </w:rPr>
        <w:t>also provide</w:t>
      </w:r>
      <w:r w:rsidR="002E4E6E">
        <w:rPr>
          <w:rFonts w:eastAsia="Times New Roman" w:cs="Times New Roman"/>
          <w:spacing w:val="4"/>
        </w:rPr>
        <w:t>s</w:t>
      </w:r>
      <w:r w:rsidRPr="00B77836">
        <w:rPr>
          <w:rFonts w:eastAsia="Times New Roman" w:cs="Times New Roman"/>
          <w:spacing w:val="4"/>
        </w:rPr>
        <w:t xml:space="preserve"> clinical staff for palliative care efforts in 2 nursing homes within the services area.  </w:t>
      </w:r>
    </w:p>
    <w:p w14:paraId="6503F30B" w14:textId="77777777" w:rsidR="00B77836" w:rsidRDefault="00B77836" w:rsidP="00B77836">
      <w:pPr>
        <w:widowControl w:val="0"/>
        <w:spacing w:after="0" w:line="240" w:lineRule="auto"/>
        <w:rPr>
          <w:rFonts w:eastAsia="Times New Roman" w:cs="Times New Roman"/>
          <w:b/>
          <w:spacing w:val="4"/>
        </w:rPr>
      </w:pPr>
    </w:p>
    <w:p w14:paraId="4E084206" w14:textId="05763FE8" w:rsidR="00B77836" w:rsidRPr="00FD3CBA" w:rsidRDefault="00B77836" w:rsidP="00B77836">
      <w:pPr>
        <w:widowControl w:val="0"/>
        <w:spacing w:after="0" w:line="240" w:lineRule="auto"/>
      </w:pPr>
      <w:r w:rsidRPr="00B77836">
        <w:rPr>
          <w:rFonts w:eastAsia="Times New Roman" w:cs="Times New Roman"/>
          <w:b/>
          <w:spacing w:val="4"/>
        </w:rPr>
        <w:t>Expansion of Care Coordination and Care Management Services</w:t>
      </w:r>
      <w:r w:rsidR="002E4E6E">
        <w:t xml:space="preserve"> – The</w:t>
      </w:r>
      <w:r w:rsidRPr="00FD3CBA">
        <w:t xml:space="preserve"> </w:t>
      </w:r>
      <w:r w:rsidR="002E4E6E">
        <w:t>patient-centered medical home (</w:t>
      </w:r>
      <w:r w:rsidRPr="00FD3CBA">
        <w:t>PCMH</w:t>
      </w:r>
      <w:r w:rsidR="002E4E6E">
        <w:t xml:space="preserve">) model has been embraced in GBMC’s </w:t>
      </w:r>
      <w:r w:rsidRPr="00FD3CBA">
        <w:t xml:space="preserve">primary care offices with a deliberate focus on </w:t>
      </w:r>
      <w:r w:rsidR="002E4E6E">
        <w:t>preventative health care, care management and coordination</w:t>
      </w:r>
      <w:r w:rsidRPr="00FD3CBA">
        <w:t>, and population health</w:t>
      </w:r>
      <w:r w:rsidR="002E4E6E">
        <w:t xml:space="preserve"> management</w:t>
      </w:r>
      <w:r w:rsidRPr="00FD3CBA">
        <w:t xml:space="preserve">.  </w:t>
      </w:r>
      <w:r w:rsidR="002E4E6E">
        <w:t>Efforts have emphasized</w:t>
      </w:r>
      <w:r w:rsidRPr="00FD3CBA">
        <w:t xml:space="preserve"> helping patients achieve and maintain better healt</w:t>
      </w:r>
      <w:bookmarkStart w:id="0" w:name="_GoBack"/>
      <w:bookmarkEnd w:id="0"/>
      <w:r w:rsidRPr="00FD3CBA">
        <w:t xml:space="preserve">h with tactics in place to reduce avoidable hospital admission and unnecessary emergency department use, eliminate gaps in care for routine screenings and improve quality outcomes for patients with chronic conditions. </w:t>
      </w:r>
    </w:p>
    <w:p w14:paraId="71DE5846" w14:textId="77777777" w:rsidR="00394CB3" w:rsidRDefault="00394CB3"/>
    <w:p w14:paraId="5FB3215C" w14:textId="6AD3D3B0" w:rsidR="007B52B7" w:rsidRDefault="00E54B91" w:rsidP="007B52B7">
      <w:pPr>
        <w:pStyle w:val="Heading1"/>
      </w:pPr>
      <w:r>
        <w:rPr>
          <w:rStyle w:val="Heading1Char"/>
        </w:rPr>
        <w:t xml:space="preserve">Intervention Program </w:t>
      </w:r>
      <w:r w:rsidR="007B52B7">
        <w:t xml:space="preserve"> </w:t>
      </w:r>
    </w:p>
    <w:p w14:paraId="7613B098" w14:textId="162E2D03" w:rsidR="007B52B7" w:rsidRDefault="007B52B7">
      <w:r>
        <w:t xml:space="preserve">Please </w:t>
      </w:r>
      <w:r w:rsidR="00394CB3">
        <w:t xml:space="preserve">copy/paste </w:t>
      </w:r>
      <w:r>
        <w:t xml:space="preserve">this section for each </w:t>
      </w:r>
      <w:r w:rsidR="00F43692">
        <w:t>I</w:t>
      </w:r>
      <w:r>
        <w:t>ntervention/</w:t>
      </w:r>
      <w:r w:rsidR="00F43692">
        <w:t>P</w:t>
      </w:r>
      <w:r>
        <w:t xml:space="preserve">rogram that your </w:t>
      </w:r>
      <w:r w:rsidR="00F43692">
        <w:t>P</w:t>
      </w:r>
      <w:r>
        <w:t>artnersh</w:t>
      </w:r>
      <w:r w:rsidR="009C7A37">
        <w:t>ip maintains, if more than one.</w:t>
      </w:r>
    </w:p>
    <w:tbl>
      <w:tblPr>
        <w:tblStyle w:val="TableGridLight"/>
        <w:tblW w:w="9355" w:type="dxa"/>
        <w:tblCellMar>
          <w:top w:w="115" w:type="dxa"/>
          <w:left w:w="115" w:type="dxa"/>
          <w:bottom w:w="115" w:type="dxa"/>
          <w:right w:w="115" w:type="dxa"/>
        </w:tblCellMar>
        <w:tblLook w:val="04A0" w:firstRow="1" w:lastRow="0" w:firstColumn="1" w:lastColumn="0" w:noHBand="0" w:noVBand="1"/>
      </w:tblPr>
      <w:tblGrid>
        <w:gridCol w:w="3600"/>
        <w:gridCol w:w="5755"/>
      </w:tblGrid>
      <w:tr w:rsidR="009C7A37" w14:paraId="288765B2" w14:textId="77777777" w:rsidTr="000075DB">
        <w:tc>
          <w:tcPr>
            <w:tcW w:w="3600" w:type="dxa"/>
          </w:tcPr>
          <w:p w14:paraId="5E3E1A19" w14:textId="67B54100" w:rsidR="009C7A37" w:rsidRPr="00F43692" w:rsidRDefault="009C7A37">
            <w:pPr>
              <w:rPr>
                <w:b/>
              </w:rPr>
            </w:pPr>
            <w:r w:rsidRPr="00F43692">
              <w:rPr>
                <w:b/>
              </w:rPr>
              <w:t>Intervention or Program Name</w:t>
            </w:r>
          </w:p>
        </w:tc>
        <w:tc>
          <w:tcPr>
            <w:tcW w:w="5755" w:type="dxa"/>
          </w:tcPr>
          <w:p w14:paraId="0F7C2440" w14:textId="26AA3852" w:rsidR="009C7A37" w:rsidRDefault="00C14FD2" w:rsidP="001062B6">
            <w:r>
              <w:t>Expansion and Management of Chronic Conditions Through Improved Integration of Mental Health Services</w:t>
            </w:r>
          </w:p>
        </w:tc>
      </w:tr>
      <w:tr w:rsidR="009C7A37" w14:paraId="1C569CE3" w14:textId="77777777" w:rsidTr="000075DB">
        <w:tc>
          <w:tcPr>
            <w:tcW w:w="3600" w:type="dxa"/>
          </w:tcPr>
          <w:p w14:paraId="41CD74F3" w14:textId="020C68DF" w:rsidR="009C7A37" w:rsidRPr="00F43692" w:rsidRDefault="009C7A37">
            <w:pPr>
              <w:rPr>
                <w:b/>
              </w:rPr>
            </w:pPr>
            <w:r w:rsidRPr="00F43692">
              <w:rPr>
                <w:b/>
              </w:rPr>
              <w:t>RP Hospitals Participating in Intervention</w:t>
            </w:r>
          </w:p>
          <w:p w14:paraId="4CFC7F60" w14:textId="56B8EA11" w:rsidR="009C7A37" w:rsidRPr="009C7A37" w:rsidRDefault="009C7A37">
            <w:pPr>
              <w:rPr>
                <w:i/>
              </w:rPr>
            </w:pPr>
            <w:r w:rsidRPr="000075DB">
              <w:rPr>
                <w:i/>
                <w:sz w:val="20"/>
              </w:rPr>
              <w:t>Please indicate if All; otherwise, please indicate which of the RP Hospitals are participating</w:t>
            </w:r>
            <w:r w:rsidR="000075DB">
              <w:rPr>
                <w:i/>
                <w:sz w:val="20"/>
              </w:rPr>
              <w:t>.</w:t>
            </w:r>
          </w:p>
        </w:tc>
        <w:tc>
          <w:tcPr>
            <w:tcW w:w="5755" w:type="dxa"/>
          </w:tcPr>
          <w:p w14:paraId="0DAF6231" w14:textId="2ABEE69D" w:rsidR="009C7A37" w:rsidRDefault="00CC534F">
            <w:r>
              <w:t>Greater Baltimore Medical Center</w:t>
            </w:r>
          </w:p>
        </w:tc>
      </w:tr>
      <w:tr w:rsidR="009C7A37" w14:paraId="368B430C" w14:textId="77777777" w:rsidTr="000075DB">
        <w:tc>
          <w:tcPr>
            <w:tcW w:w="3600" w:type="dxa"/>
          </w:tcPr>
          <w:p w14:paraId="0D2821D1" w14:textId="5E7B99D8" w:rsidR="009C7A37" w:rsidRPr="00F43692" w:rsidRDefault="005733DE">
            <w:pPr>
              <w:rPr>
                <w:b/>
              </w:rPr>
            </w:pPr>
            <w:r w:rsidRPr="00F43692">
              <w:rPr>
                <w:b/>
              </w:rPr>
              <w:t xml:space="preserve">Brief description of the </w:t>
            </w:r>
            <w:r w:rsidR="00D02142" w:rsidRPr="00F43692">
              <w:rPr>
                <w:b/>
              </w:rPr>
              <w:t>I</w:t>
            </w:r>
            <w:r w:rsidRPr="00F43692">
              <w:rPr>
                <w:b/>
              </w:rPr>
              <w:t>ntervention</w:t>
            </w:r>
          </w:p>
          <w:p w14:paraId="72D4432D" w14:textId="19A81936" w:rsidR="005733DE" w:rsidRPr="005733DE" w:rsidRDefault="005733DE">
            <w:pPr>
              <w:rPr>
                <w:i/>
              </w:rPr>
            </w:pPr>
            <w:r w:rsidRPr="005733DE">
              <w:rPr>
                <w:i/>
              </w:rPr>
              <w:t>2-3 sentences</w:t>
            </w:r>
          </w:p>
        </w:tc>
        <w:tc>
          <w:tcPr>
            <w:tcW w:w="5755" w:type="dxa"/>
          </w:tcPr>
          <w:p w14:paraId="5421FA46" w14:textId="39E57608" w:rsidR="009C7A37" w:rsidRPr="00CC534F" w:rsidRDefault="00CC534F" w:rsidP="00CC534F">
            <w:r w:rsidRPr="00CC534F">
              <w:rPr>
                <w:rFonts w:eastAsia="Times New Roman" w:cs="Times New Roman"/>
                <w:spacing w:val="4"/>
              </w:rPr>
              <w:t xml:space="preserve">Mental health professionals </w:t>
            </w:r>
            <w:r>
              <w:rPr>
                <w:rFonts w:eastAsia="Times New Roman" w:cs="Times New Roman"/>
                <w:spacing w:val="4"/>
              </w:rPr>
              <w:t>are</w:t>
            </w:r>
            <w:r w:rsidRPr="00CC534F">
              <w:rPr>
                <w:rFonts w:eastAsia="Times New Roman" w:cs="Times New Roman"/>
                <w:spacing w:val="4"/>
              </w:rPr>
              <w:t xml:space="preserve"> embedded in</w:t>
            </w:r>
            <w:r>
              <w:rPr>
                <w:rFonts w:eastAsia="Times New Roman" w:cs="Times New Roman"/>
                <w:spacing w:val="4"/>
              </w:rPr>
              <w:t xml:space="preserve"> GBMC</w:t>
            </w:r>
            <w:r w:rsidRPr="00CC534F">
              <w:rPr>
                <w:rFonts w:eastAsia="Times New Roman" w:cs="Times New Roman"/>
                <w:spacing w:val="4"/>
              </w:rPr>
              <w:t xml:space="preserve"> primary care practices to provide screening, short-term intervention, </w:t>
            </w:r>
            <w:r>
              <w:rPr>
                <w:rFonts w:eastAsia="Times New Roman" w:cs="Times New Roman"/>
                <w:spacing w:val="4"/>
              </w:rPr>
              <w:t xml:space="preserve">and </w:t>
            </w:r>
            <w:r w:rsidRPr="00CC534F">
              <w:rPr>
                <w:rFonts w:eastAsia="Times New Roman" w:cs="Times New Roman"/>
                <w:spacing w:val="4"/>
              </w:rPr>
              <w:t>ongoing counseling/behavioral management</w:t>
            </w:r>
            <w:r>
              <w:rPr>
                <w:rFonts w:eastAsia="Times New Roman" w:cs="Times New Roman"/>
                <w:spacing w:val="4"/>
              </w:rPr>
              <w:t>.</w:t>
            </w:r>
            <w:r w:rsidRPr="00CC534F">
              <w:rPr>
                <w:rFonts w:eastAsia="Times New Roman" w:cs="Times New Roman"/>
                <w:spacing w:val="4"/>
              </w:rPr>
              <w:t xml:space="preserve"> Specialty outpatient psychiatric services and consultation services </w:t>
            </w:r>
            <w:r>
              <w:rPr>
                <w:rFonts w:eastAsia="Times New Roman" w:cs="Times New Roman"/>
                <w:spacing w:val="4"/>
              </w:rPr>
              <w:t>are</w:t>
            </w:r>
            <w:r w:rsidRPr="00CC534F">
              <w:rPr>
                <w:rFonts w:eastAsia="Times New Roman" w:cs="Times New Roman"/>
                <w:spacing w:val="4"/>
              </w:rPr>
              <w:t xml:space="preserve"> provided at GBMC’s medical homes</w:t>
            </w:r>
            <w:r>
              <w:rPr>
                <w:rFonts w:eastAsia="Times New Roman" w:cs="Times New Roman"/>
                <w:spacing w:val="4"/>
              </w:rPr>
              <w:t xml:space="preserve"> and p</w:t>
            </w:r>
            <w:r w:rsidRPr="00CC534F">
              <w:rPr>
                <w:rFonts w:eastAsia="Times New Roman" w:cs="Times New Roman"/>
                <w:spacing w:val="4"/>
              </w:rPr>
              <w:t xml:space="preserve">sychiatrists </w:t>
            </w:r>
            <w:r>
              <w:rPr>
                <w:rFonts w:eastAsia="Times New Roman" w:cs="Times New Roman"/>
                <w:spacing w:val="4"/>
              </w:rPr>
              <w:t xml:space="preserve">also </w:t>
            </w:r>
            <w:r w:rsidRPr="00CC534F">
              <w:rPr>
                <w:rFonts w:eastAsia="Times New Roman" w:cs="Times New Roman"/>
                <w:spacing w:val="4"/>
              </w:rPr>
              <w:t>provide evaluations on inpatient and ER patients and provide post-discharge mental health support (time-limited services)</w:t>
            </w:r>
            <w:r>
              <w:rPr>
                <w:rFonts w:eastAsia="Times New Roman" w:cs="Times New Roman"/>
                <w:spacing w:val="4"/>
              </w:rPr>
              <w:t>.</w:t>
            </w:r>
            <w:r w:rsidRPr="00CC534F">
              <w:rPr>
                <w:rFonts w:eastAsia="Times New Roman" w:cs="Times New Roman"/>
                <w:spacing w:val="4"/>
              </w:rPr>
              <w:t xml:space="preserve"> </w:t>
            </w:r>
            <w:r>
              <w:rPr>
                <w:rFonts w:eastAsia="Times New Roman" w:cs="Times New Roman"/>
                <w:spacing w:val="4"/>
              </w:rPr>
              <w:t>Finally, patients are referred</w:t>
            </w:r>
            <w:r w:rsidRPr="00CC534F">
              <w:rPr>
                <w:rFonts w:eastAsia="Times New Roman" w:cs="Times New Roman"/>
                <w:spacing w:val="4"/>
              </w:rPr>
              <w:t xml:space="preserve"> to community based programs and services</w:t>
            </w:r>
            <w:r>
              <w:rPr>
                <w:rFonts w:eastAsia="Times New Roman" w:cs="Times New Roman"/>
                <w:spacing w:val="4"/>
              </w:rPr>
              <w:t xml:space="preserve"> for longer-term support. </w:t>
            </w:r>
          </w:p>
        </w:tc>
      </w:tr>
      <w:tr w:rsidR="005733DE" w14:paraId="67BF7CB7" w14:textId="77777777" w:rsidTr="000075DB">
        <w:tc>
          <w:tcPr>
            <w:tcW w:w="3600" w:type="dxa"/>
          </w:tcPr>
          <w:p w14:paraId="32CC02B3" w14:textId="77777777" w:rsidR="005733DE" w:rsidRDefault="005733DE">
            <w:pPr>
              <w:rPr>
                <w:b/>
              </w:rPr>
            </w:pPr>
            <w:r w:rsidRPr="00F43692">
              <w:rPr>
                <w:b/>
              </w:rPr>
              <w:t>Participating Program Partners</w:t>
            </w:r>
          </w:p>
          <w:p w14:paraId="6AD02076" w14:textId="7568CC97" w:rsidR="00A74C12" w:rsidRPr="00F43692" w:rsidRDefault="00A74C12">
            <w:pPr>
              <w:rPr>
                <w:b/>
              </w:rPr>
            </w:pPr>
            <w:r w:rsidRPr="000075DB">
              <w:rPr>
                <w:i/>
                <w:sz w:val="20"/>
                <w:szCs w:val="20"/>
              </w:rPr>
              <w:lastRenderedPageBreak/>
              <w:t>Please</w:t>
            </w:r>
            <w:r>
              <w:rPr>
                <w:i/>
                <w:sz w:val="20"/>
                <w:szCs w:val="20"/>
              </w:rPr>
              <w:t xml:space="preserve"> list </w:t>
            </w:r>
            <w:r>
              <w:rPr>
                <w:i/>
                <w:sz w:val="20"/>
              </w:rPr>
              <w:t>the relevant community-based organizations or provider groups, contractors, and/or public partners</w:t>
            </w:r>
          </w:p>
        </w:tc>
        <w:tc>
          <w:tcPr>
            <w:tcW w:w="5755" w:type="dxa"/>
          </w:tcPr>
          <w:p w14:paraId="23E57DBA" w14:textId="77777777" w:rsidR="00C671D9" w:rsidRPr="000E2355" w:rsidRDefault="00C671D9" w:rsidP="00C671D9">
            <w:pPr>
              <w:pStyle w:val="BodyText"/>
              <w:numPr>
                <w:ilvl w:val="0"/>
                <w:numId w:val="8"/>
              </w:numPr>
              <w:spacing w:before="3"/>
              <w:ind w:right="138"/>
              <w:rPr>
                <w:rFonts w:asciiTheme="minorHAnsi" w:hAnsiTheme="minorHAnsi"/>
                <w:sz w:val="22"/>
                <w:szCs w:val="22"/>
              </w:rPr>
            </w:pPr>
            <w:r w:rsidRPr="000E2355">
              <w:rPr>
                <w:rFonts w:asciiTheme="minorHAnsi" w:hAnsiTheme="minorHAnsi" w:cs="Times New Roman"/>
                <w:bCs/>
                <w:spacing w:val="-2"/>
                <w:sz w:val="22"/>
                <w:szCs w:val="22"/>
              </w:rPr>
              <w:lastRenderedPageBreak/>
              <w:t>K</w:t>
            </w:r>
            <w:r w:rsidRPr="000E2355">
              <w:rPr>
                <w:rFonts w:asciiTheme="minorHAnsi" w:hAnsiTheme="minorHAnsi" w:cs="Times New Roman"/>
                <w:bCs/>
                <w:sz w:val="22"/>
                <w:szCs w:val="22"/>
              </w:rPr>
              <w:t>o</w:t>
            </w:r>
            <w:r w:rsidRPr="000E2355">
              <w:rPr>
                <w:rFonts w:asciiTheme="minorHAnsi" w:hAnsiTheme="minorHAnsi" w:cs="Times New Roman"/>
                <w:bCs/>
                <w:spacing w:val="2"/>
                <w:sz w:val="22"/>
                <w:szCs w:val="22"/>
              </w:rPr>
              <w:t>l</w:t>
            </w:r>
            <w:r w:rsidRPr="000E2355">
              <w:rPr>
                <w:rFonts w:asciiTheme="minorHAnsi" w:hAnsiTheme="minorHAnsi" w:cs="Times New Roman"/>
                <w:bCs/>
                <w:spacing w:val="-4"/>
                <w:sz w:val="22"/>
                <w:szCs w:val="22"/>
              </w:rPr>
              <w:t>m</w:t>
            </w:r>
            <w:r w:rsidRPr="000E2355">
              <w:rPr>
                <w:rFonts w:asciiTheme="minorHAnsi" w:hAnsiTheme="minorHAnsi" w:cs="Times New Roman"/>
                <w:bCs/>
                <w:sz w:val="22"/>
                <w:szCs w:val="22"/>
              </w:rPr>
              <w:t>ac</w:t>
            </w:r>
            <w:r w:rsidRPr="000E2355">
              <w:rPr>
                <w:rFonts w:asciiTheme="minorHAnsi" w:hAnsiTheme="minorHAnsi" w:cs="Times New Roman"/>
                <w:bCs/>
                <w:spacing w:val="1"/>
                <w:sz w:val="22"/>
                <w:szCs w:val="22"/>
              </w:rPr>
              <w:t xml:space="preserve"> </w:t>
            </w:r>
            <w:r w:rsidRPr="000E2355">
              <w:rPr>
                <w:rFonts w:asciiTheme="minorHAnsi" w:hAnsiTheme="minorHAnsi" w:cs="Times New Roman"/>
                <w:bCs/>
                <w:sz w:val="22"/>
                <w:szCs w:val="22"/>
              </w:rPr>
              <w:t>Cli</w:t>
            </w:r>
            <w:r w:rsidRPr="000E2355">
              <w:rPr>
                <w:rFonts w:asciiTheme="minorHAnsi" w:hAnsiTheme="minorHAnsi" w:cs="Times New Roman"/>
                <w:bCs/>
                <w:spacing w:val="1"/>
                <w:sz w:val="22"/>
                <w:szCs w:val="22"/>
              </w:rPr>
              <w:t>n</w:t>
            </w:r>
            <w:r w:rsidRPr="000E2355">
              <w:rPr>
                <w:rFonts w:asciiTheme="minorHAnsi" w:hAnsiTheme="minorHAnsi" w:cs="Times New Roman"/>
                <w:bCs/>
                <w:sz w:val="22"/>
                <w:szCs w:val="22"/>
              </w:rPr>
              <w:t>ic</w:t>
            </w:r>
          </w:p>
          <w:p w14:paraId="36151812" w14:textId="77777777" w:rsidR="00C671D9" w:rsidRPr="000E2355" w:rsidRDefault="00C671D9" w:rsidP="00C671D9">
            <w:pPr>
              <w:pStyle w:val="BodyText"/>
              <w:numPr>
                <w:ilvl w:val="0"/>
                <w:numId w:val="8"/>
              </w:numPr>
              <w:spacing w:before="6"/>
              <w:ind w:right="128"/>
              <w:rPr>
                <w:rFonts w:asciiTheme="minorHAnsi" w:hAnsiTheme="minorHAnsi"/>
                <w:sz w:val="22"/>
                <w:szCs w:val="22"/>
              </w:rPr>
            </w:pPr>
            <w:r w:rsidRPr="000E2355">
              <w:rPr>
                <w:rFonts w:asciiTheme="minorHAnsi" w:hAnsiTheme="minorHAnsi" w:cs="Times New Roman"/>
                <w:bCs/>
                <w:spacing w:val="-1"/>
                <w:sz w:val="22"/>
                <w:szCs w:val="22"/>
              </w:rPr>
              <w:t>M</w:t>
            </w:r>
            <w:r w:rsidRPr="000E2355">
              <w:rPr>
                <w:rFonts w:asciiTheme="minorHAnsi" w:hAnsiTheme="minorHAnsi" w:cs="Times New Roman"/>
                <w:bCs/>
                <w:sz w:val="22"/>
                <w:szCs w:val="22"/>
              </w:rPr>
              <w:t>osaic</w:t>
            </w:r>
            <w:r w:rsidRPr="000E2355">
              <w:rPr>
                <w:rFonts w:asciiTheme="minorHAnsi" w:hAnsiTheme="minorHAnsi" w:cs="Times New Roman"/>
                <w:bCs/>
                <w:spacing w:val="-1"/>
                <w:sz w:val="22"/>
                <w:szCs w:val="22"/>
              </w:rPr>
              <w:t xml:space="preserve"> c</w:t>
            </w:r>
            <w:r w:rsidRPr="000E2355">
              <w:rPr>
                <w:rFonts w:asciiTheme="minorHAnsi" w:hAnsiTheme="minorHAnsi" w:cs="Times New Roman"/>
                <w:bCs/>
                <w:spacing w:val="2"/>
                <w:sz w:val="22"/>
                <w:szCs w:val="22"/>
              </w:rPr>
              <w:t>o</w:t>
            </w:r>
            <w:r w:rsidRPr="000E2355">
              <w:rPr>
                <w:rFonts w:asciiTheme="minorHAnsi" w:hAnsiTheme="minorHAnsi" w:cs="Times New Roman"/>
                <w:bCs/>
                <w:spacing w:val="-1"/>
                <w:sz w:val="22"/>
                <w:szCs w:val="22"/>
              </w:rPr>
              <w:t>m</w:t>
            </w:r>
            <w:r w:rsidRPr="000E2355">
              <w:rPr>
                <w:rFonts w:asciiTheme="minorHAnsi" w:hAnsiTheme="minorHAnsi" w:cs="Times New Roman"/>
                <w:bCs/>
                <w:spacing w:val="-4"/>
                <w:sz w:val="22"/>
                <w:szCs w:val="22"/>
              </w:rPr>
              <w:t>m</w:t>
            </w:r>
            <w:r w:rsidRPr="000E2355">
              <w:rPr>
                <w:rFonts w:asciiTheme="minorHAnsi" w:hAnsiTheme="minorHAnsi" w:cs="Times New Roman"/>
                <w:bCs/>
                <w:sz w:val="22"/>
                <w:szCs w:val="22"/>
              </w:rPr>
              <w:t>unity services</w:t>
            </w:r>
          </w:p>
          <w:p w14:paraId="4D7A4BEC" w14:textId="66A01279" w:rsidR="005733DE" w:rsidRPr="00C671D9" w:rsidRDefault="00C671D9" w:rsidP="00C671D9">
            <w:pPr>
              <w:pStyle w:val="BodyText"/>
              <w:numPr>
                <w:ilvl w:val="0"/>
                <w:numId w:val="8"/>
              </w:numPr>
              <w:spacing w:before="6"/>
              <w:ind w:right="128"/>
              <w:rPr>
                <w:rFonts w:cs="Times New Roman"/>
                <w:i/>
                <w:spacing w:val="-1"/>
                <w:sz w:val="22"/>
                <w:szCs w:val="22"/>
              </w:rPr>
            </w:pPr>
            <w:r w:rsidRPr="000E2355">
              <w:rPr>
                <w:rFonts w:asciiTheme="minorHAnsi" w:hAnsiTheme="minorHAnsi" w:cs="Times New Roman"/>
                <w:bCs/>
                <w:spacing w:val="-1"/>
                <w:sz w:val="22"/>
                <w:szCs w:val="22"/>
              </w:rPr>
              <w:lastRenderedPageBreak/>
              <w:t>Sheppard Pratt Health System</w:t>
            </w:r>
          </w:p>
        </w:tc>
      </w:tr>
      <w:tr w:rsidR="002E25DB" w14:paraId="335BD6F6" w14:textId="77777777" w:rsidTr="000075DB">
        <w:trPr>
          <w:trHeight w:val="245"/>
        </w:trPr>
        <w:tc>
          <w:tcPr>
            <w:tcW w:w="3600" w:type="dxa"/>
            <w:vMerge w:val="restart"/>
          </w:tcPr>
          <w:p w14:paraId="7531D1C4" w14:textId="77777777" w:rsidR="002E25DB" w:rsidRPr="00F43692" w:rsidRDefault="002E25DB">
            <w:pPr>
              <w:rPr>
                <w:b/>
              </w:rPr>
            </w:pPr>
            <w:r w:rsidRPr="00F43692">
              <w:rPr>
                <w:b/>
              </w:rPr>
              <w:lastRenderedPageBreak/>
              <w:t>Patients Served</w:t>
            </w:r>
          </w:p>
          <w:p w14:paraId="0D39DCE6" w14:textId="77777777" w:rsidR="0093566B" w:rsidRDefault="000075DB" w:rsidP="0093566B">
            <w:pPr>
              <w:rPr>
                <w:i/>
                <w:sz w:val="20"/>
                <w:szCs w:val="20"/>
              </w:rPr>
            </w:pPr>
            <w:r w:rsidRPr="000075DB">
              <w:rPr>
                <w:i/>
                <w:sz w:val="20"/>
                <w:szCs w:val="20"/>
              </w:rPr>
              <w:t>Please estimate using the Population category that best applies to the Intervention, from the</w:t>
            </w:r>
            <w:r>
              <w:rPr>
                <w:i/>
                <w:sz w:val="20"/>
                <w:szCs w:val="20"/>
              </w:rPr>
              <w:t xml:space="preserve"> CY 2017 </w:t>
            </w:r>
            <w:r w:rsidRPr="000075DB">
              <w:rPr>
                <w:i/>
                <w:sz w:val="20"/>
                <w:szCs w:val="20"/>
              </w:rPr>
              <w:t xml:space="preserve">RP Analytic Files. </w:t>
            </w:r>
          </w:p>
          <w:p w14:paraId="1D8D594F" w14:textId="2B0638B6" w:rsidR="0093566B" w:rsidRDefault="0093566B" w:rsidP="0093566B">
            <w:pPr>
              <w:rPr>
                <w:i/>
                <w:sz w:val="20"/>
                <w:szCs w:val="20"/>
              </w:rPr>
            </w:pPr>
            <w:r>
              <w:rPr>
                <w:i/>
                <w:sz w:val="20"/>
                <w:szCs w:val="20"/>
              </w:rPr>
              <w:t>HSCRC</w:t>
            </w:r>
            <w:r w:rsidR="000075DB" w:rsidRPr="000075DB">
              <w:rPr>
                <w:i/>
                <w:sz w:val="20"/>
                <w:szCs w:val="20"/>
              </w:rPr>
              <w:t xml:space="preserve"> acknowledge</w:t>
            </w:r>
            <w:r>
              <w:rPr>
                <w:i/>
                <w:sz w:val="20"/>
                <w:szCs w:val="20"/>
              </w:rPr>
              <w:t>s</w:t>
            </w:r>
            <w:r w:rsidR="000075DB" w:rsidRPr="000075DB">
              <w:rPr>
                <w:i/>
                <w:sz w:val="20"/>
                <w:szCs w:val="20"/>
              </w:rPr>
              <w:t xml:space="preserve"> that the High Utilizer/Rising Risk or Payer designations may over-state the </w:t>
            </w:r>
            <w:r w:rsidR="00D02E12" w:rsidRPr="000075DB">
              <w:rPr>
                <w:i/>
                <w:sz w:val="20"/>
                <w:szCs w:val="20"/>
              </w:rPr>
              <w:t>population</w:t>
            </w:r>
            <w:r w:rsidR="00D02E12">
              <w:rPr>
                <w:i/>
                <w:sz w:val="20"/>
                <w:szCs w:val="20"/>
              </w:rPr>
              <w:t>,</w:t>
            </w:r>
            <w:r w:rsidR="00D02E12" w:rsidRPr="000075DB">
              <w:rPr>
                <w:i/>
                <w:sz w:val="20"/>
                <w:szCs w:val="20"/>
              </w:rPr>
              <w:t xml:space="preserve"> or</w:t>
            </w:r>
            <w:r w:rsidR="000075DB" w:rsidRPr="000075DB">
              <w:rPr>
                <w:i/>
                <w:sz w:val="20"/>
                <w:szCs w:val="20"/>
              </w:rPr>
              <w:t xml:space="preserve"> may not entirely represent this intervention’s targeted population.</w:t>
            </w:r>
          </w:p>
          <w:p w14:paraId="4F41E280" w14:textId="52A7FA13" w:rsidR="002E25DB" w:rsidRPr="000075DB" w:rsidRDefault="000075DB" w:rsidP="0093566B">
            <w:pPr>
              <w:rPr>
                <w:sz w:val="20"/>
                <w:szCs w:val="20"/>
              </w:rPr>
            </w:pPr>
            <w:r w:rsidRPr="000075DB">
              <w:rPr>
                <w:i/>
                <w:sz w:val="20"/>
                <w:szCs w:val="20"/>
              </w:rPr>
              <w:t xml:space="preserve">Feel free to </w:t>
            </w:r>
            <w:r w:rsidRPr="000075DB">
              <w:rPr>
                <w:b/>
                <w:i/>
                <w:sz w:val="20"/>
                <w:szCs w:val="20"/>
              </w:rPr>
              <w:t>also</w:t>
            </w:r>
            <w:r w:rsidRPr="000075DB">
              <w:rPr>
                <w:i/>
                <w:sz w:val="20"/>
                <w:szCs w:val="20"/>
              </w:rPr>
              <w:t xml:space="preserve"> include your partnership’s denominator.</w:t>
            </w:r>
          </w:p>
        </w:tc>
        <w:tc>
          <w:tcPr>
            <w:tcW w:w="5755" w:type="dxa"/>
          </w:tcPr>
          <w:p w14:paraId="630FF0DA" w14:textId="77777777" w:rsidR="002E25DB" w:rsidRDefault="002E25DB">
            <w:r>
              <w:t># of Patients Served a</w:t>
            </w:r>
            <w:r w:rsidRPr="002E25DB">
              <w:t>s of June 30, 2018</w:t>
            </w:r>
            <w:r>
              <w:t>:</w:t>
            </w:r>
            <w:r>
              <w:br/>
            </w:r>
          </w:p>
          <w:p w14:paraId="2D9B215E" w14:textId="460CD6AE" w:rsidR="0012525F" w:rsidRDefault="0012525F">
            <w:r>
              <w:t>Over 5,000 patient visits with be</w:t>
            </w:r>
            <w:r w:rsidR="00FF2893">
              <w:t xml:space="preserve">havioral health consultants; </w:t>
            </w:r>
            <w:r>
              <w:t>more t</w:t>
            </w:r>
            <w:r w:rsidR="00FF2893">
              <w:t>han 500 visits with psychiatry; and nearly 200 patient visits with a substance abuse consultant</w:t>
            </w:r>
          </w:p>
        </w:tc>
      </w:tr>
      <w:tr w:rsidR="002E25DB" w14:paraId="6750A38F" w14:textId="77777777" w:rsidTr="000075DB">
        <w:trPr>
          <w:trHeight w:val="244"/>
        </w:trPr>
        <w:tc>
          <w:tcPr>
            <w:tcW w:w="3600" w:type="dxa"/>
            <w:vMerge/>
          </w:tcPr>
          <w:p w14:paraId="142A6DF9" w14:textId="77777777" w:rsidR="002E25DB" w:rsidRDefault="002E25DB"/>
        </w:tc>
        <w:tc>
          <w:tcPr>
            <w:tcW w:w="5755" w:type="dxa"/>
          </w:tcPr>
          <w:p w14:paraId="0A8DACD5" w14:textId="78CF5BA4" w:rsidR="00F75178" w:rsidRDefault="002E25DB" w:rsidP="000075DB">
            <w:r>
              <w:t>D</w:t>
            </w:r>
            <w:r w:rsidR="00F75178">
              <w:t>enominator of Eligible Patients:</w:t>
            </w:r>
            <w:r>
              <w:br/>
            </w:r>
          </w:p>
          <w:p w14:paraId="45FB97C4" w14:textId="301D9881" w:rsidR="0012525F" w:rsidRDefault="00FF2893" w:rsidP="000075DB">
            <w:r>
              <w:t>Nearly 54,000 patients screened for depression (measure specification aligned with Medicare Shared Savings Program quality measure PREV-12)</w:t>
            </w:r>
          </w:p>
          <w:p w14:paraId="0577FA45" w14:textId="5AC2C8E3" w:rsidR="002E25DB" w:rsidRDefault="002E25DB" w:rsidP="002E25DB"/>
          <w:p w14:paraId="3AC9B5CF" w14:textId="7A96C7B2" w:rsidR="002E25DB" w:rsidRDefault="002E25DB" w:rsidP="002E25DB"/>
        </w:tc>
      </w:tr>
      <w:tr w:rsidR="00F75178" w14:paraId="5F5F5FD9" w14:textId="77777777" w:rsidTr="000075DB">
        <w:trPr>
          <w:trHeight w:val="244"/>
        </w:trPr>
        <w:tc>
          <w:tcPr>
            <w:tcW w:w="3600" w:type="dxa"/>
          </w:tcPr>
          <w:p w14:paraId="698C67E7" w14:textId="4A7AF650" w:rsidR="00F75178" w:rsidRDefault="00F75178">
            <w:r w:rsidRPr="00F43692">
              <w:rPr>
                <w:b/>
              </w:rPr>
              <w:t>Pre-Post Analysis for Intervention</w:t>
            </w:r>
            <w:r>
              <w:t xml:space="preserve"> (optional)</w:t>
            </w:r>
          </w:p>
          <w:p w14:paraId="32647665" w14:textId="0F3BC5F7" w:rsidR="00F75178" w:rsidRPr="00F75178" w:rsidRDefault="000075DB" w:rsidP="000075DB">
            <w:pPr>
              <w:rPr>
                <w:i/>
              </w:rPr>
            </w:pPr>
            <w:r>
              <w:rPr>
                <w:i/>
                <w:sz w:val="20"/>
              </w:rPr>
              <w:t>If available, RPs may</w:t>
            </w:r>
            <w:r w:rsidR="00F75178" w:rsidRPr="000075DB">
              <w:rPr>
                <w:i/>
                <w:sz w:val="20"/>
              </w:rPr>
              <w:t xml:space="preserve"> </w:t>
            </w:r>
            <w:r w:rsidRPr="000075DB">
              <w:rPr>
                <w:i/>
                <w:sz w:val="20"/>
              </w:rPr>
              <w:t>submit</w:t>
            </w:r>
            <w:r w:rsidR="00780853" w:rsidRPr="000075DB">
              <w:rPr>
                <w:i/>
                <w:sz w:val="20"/>
              </w:rPr>
              <w:t xml:space="preserve"> a screenshot o</w:t>
            </w:r>
            <w:r w:rsidRPr="000075DB">
              <w:rPr>
                <w:i/>
                <w:sz w:val="20"/>
              </w:rPr>
              <w:t xml:space="preserve">r other file format of the </w:t>
            </w:r>
            <w:r>
              <w:rPr>
                <w:i/>
                <w:sz w:val="20"/>
              </w:rPr>
              <w:t xml:space="preserve">Intervention’s </w:t>
            </w:r>
            <w:r w:rsidRPr="000075DB">
              <w:rPr>
                <w:i/>
                <w:sz w:val="20"/>
              </w:rPr>
              <w:t>Pre-Post Analysis.</w:t>
            </w:r>
            <w:r w:rsidR="00780853" w:rsidRPr="000075DB">
              <w:rPr>
                <w:i/>
                <w:sz w:val="20"/>
              </w:rPr>
              <w:t xml:space="preserve"> </w:t>
            </w:r>
          </w:p>
        </w:tc>
        <w:tc>
          <w:tcPr>
            <w:tcW w:w="5755" w:type="dxa"/>
          </w:tcPr>
          <w:p w14:paraId="531ECB05" w14:textId="3B35F8F5" w:rsidR="00F75178" w:rsidRDefault="00FF2893" w:rsidP="001062B6">
            <w:r>
              <w:t>See Appendix A.</w:t>
            </w:r>
          </w:p>
        </w:tc>
      </w:tr>
      <w:tr w:rsidR="001062B6" w14:paraId="45FA6B44" w14:textId="77777777" w:rsidTr="000075DB">
        <w:trPr>
          <w:trHeight w:val="244"/>
        </w:trPr>
        <w:tc>
          <w:tcPr>
            <w:tcW w:w="3600" w:type="dxa"/>
          </w:tcPr>
          <w:p w14:paraId="32F1D78F" w14:textId="3D6132A7" w:rsidR="001062B6" w:rsidRPr="00F43692" w:rsidRDefault="001062B6" w:rsidP="001062B6">
            <w:pPr>
              <w:rPr>
                <w:b/>
              </w:rPr>
            </w:pPr>
            <w:r w:rsidRPr="00F43692">
              <w:rPr>
                <w:b/>
              </w:rPr>
              <w:t>Intervention-Specific Outcome or Process Measures</w:t>
            </w:r>
          </w:p>
          <w:p w14:paraId="02E24441" w14:textId="77777777" w:rsidR="001062B6" w:rsidRDefault="001062B6" w:rsidP="001062B6">
            <w:r>
              <w:t>(optional)</w:t>
            </w:r>
          </w:p>
          <w:p w14:paraId="11318498" w14:textId="77777777" w:rsidR="001062B6" w:rsidRDefault="001062B6" w:rsidP="001062B6">
            <w:pPr>
              <w:rPr>
                <w:i/>
                <w:sz w:val="20"/>
              </w:rPr>
            </w:pPr>
            <w:r w:rsidRPr="000075DB">
              <w:rPr>
                <w:i/>
                <w:sz w:val="20"/>
              </w:rPr>
              <w:t>These are measures</w:t>
            </w:r>
            <w:r>
              <w:rPr>
                <w:i/>
                <w:sz w:val="20"/>
              </w:rPr>
              <w:t xml:space="preserve"> that may not have generic definitions across Partnerships or Interventions and </w:t>
            </w:r>
            <w:r w:rsidRPr="000075DB">
              <w:rPr>
                <w:i/>
                <w:sz w:val="20"/>
              </w:rPr>
              <w:t xml:space="preserve">that your </w:t>
            </w:r>
            <w:r>
              <w:rPr>
                <w:i/>
                <w:sz w:val="20"/>
              </w:rPr>
              <w:t>P</w:t>
            </w:r>
            <w:r w:rsidRPr="000075DB">
              <w:rPr>
                <w:i/>
                <w:sz w:val="20"/>
              </w:rPr>
              <w:t xml:space="preserve">artnership maintains and uses to analyze performance. </w:t>
            </w:r>
          </w:p>
          <w:p w14:paraId="24045502" w14:textId="33B87EF4" w:rsidR="001062B6" w:rsidRPr="000075DB" w:rsidRDefault="001062B6" w:rsidP="001062B6">
            <w:pPr>
              <w:rPr>
                <w:i/>
              </w:rPr>
            </w:pPr>
            <w:r w:rsidRPr="000075DB">
              <w:rPr>
                <w:i/>
                <w:sz w:val="20"/>
              </w:rPr>
              <w:t xml:space="preserve">Examples may include: Patient satisfaction; % of referred patients who received </w:t>
            </w:r>
            <w:r>
              <w:rPr>
                <w:i/>
                <w:sz w:val="20"/>
              </w:rPr>
              <w:t>I</w:t>
            </w:r>
            <w:r w:rsidRPr="000075DB">
              <w:rPr>
                <w:i/>
                <w:sz w:val="20"/>
              </w:rPr>
              <w:t>ntervention; operationalized care teams; etc.</w:t>
            </w:r>
          </w:p>
        </w:tc>
        <w:tc>
          <w:tcPr>
            <w:tcW w:w="5755" w:type="dxa"/>
          </w:tcPr>
          <w:p w14:paraId="76487CBF" w14:textId="27230225" w:rsidR="0012525F" w:rsidRDefault="0012525F" w:rsidP="001062B6">
            <w:r>
              <w:t xml:space="preserve">Outcomes measures (other than the pre-/post-analysis) include: </w:t>
            </w:r>
          </w:p>
          <w:p w14:paraId="014E414B" w14:textId="0EBC15E0" w:rsidR="004B786C" w:rsidRDefault="004B786C" w:rsidP="001062B6">
            <w:pPr>
              <w:pStyle w:val="ListParagraph"/>
              <w:numPr>
                <w:ilvl w:val="0"/>
                <w:numId w:val="13"/>
              </w:numPr>
            </w:pPr>
            <w:r>
              <w:t>More than 88,000 NIDA screens have been administered on more than 50,000 unique patients</w:t>
            </w:r>
          </w:p>
          <w:p w14:paraId="553DFC07" w14:textId="4241E2E5" w:rsidR="0012525F" w:rsidRDefault="0012525F" w:rsidP="00FF2893">
            <w:pPr>
              <w:pStyle w:val="ListParagraph"/>
              <w:numPr>
                <w:ilvl w:val="0"/>
                <w:numId w:val="13"/>
              </w:numPr>
            </w:pPr>
            <w:r>
              <w:t xml:space="preserve">Using the Active patient registry, patients have experienced a 29% reduction in anxiety scores and a 32% reduction in depression scores. Given system limitations, inactive patients are not included this outcome calculation, which may underestimate the full impact of the work given that “graduated patients” are categorized as an inactive. </w:t>
            </w:r>
          </w:p>
        </w:tc>
      </w:tr>
      <w:tr w:rsidR="001062B6" w14:paraId="421104A9" w14:textId="77777777" w:rsidTr="000075DB">
        <w:trPr>
          <w:trHeight w:val="244"/>
        </w:trPr>
        <w:tc>
          <w:tcPr>
            <w:tcW w:w="3600" w:type="dxa"/>
          </w:tcPr>
          <w:p w14:paraId="07BC95AF" w14:textId="77777777" w:rsidR="001062B6" w:rsidRDefault="001062B6" w:rsidP="001062B6">
            <w:r>
              <w:rPr>
                <w:b/>
              </w:rPr>
              <w:t>Successes of the Intervention in FY 2018</w:t>
            </w:r>
          </w:p>
          <w:p w14:paraId="3733570C" w14:textId="68C70A87" w:rsidR="001062B6" w:rsidRPr="00F43692" w:rsidRDefault="001062B6" w:rsidP="001062B6">
            <w:pPr>
              <w:rPr>
                <w:i/>
              </w:rPr>
            </w:pPr>
            <w:r w:rsidRPr="00F43692">
              <w:rPr>
                <w:i/>
                <w:sz w:val="20"/>
              </w:rPr>
              <w:t>Free Response, up to 1 Paragraph</w:t>
            </w:r>
          </w:p>
        </w:tc>
        <w:tc>
          <w:tcPr>
            <w:tcW w:w="5755" w:type="dxa"/>
          </w:tcPr>
          <w:p w14:paraId="479F3715" w14:textId="3D694399" w:rsidR="00727F12" w:rsidRDefault="009B45D4" w:rsidP="009B45D4">
            <w:r>
              <w:t>Successes in FY 2018 include: a</w:t>
            </w:r>
            <w:r w:rsidR="00FF2893">
              <w:t>n i</w:t>
            </w:r>
            <w:r w:rsidR="00727F12">
              <w:t xml:space="preserve">ncrease in </w:t>
            </w:r>
            <w:r w:rsidR="00FF2893">
              <w:t>the volume of</w:t>
            </w:r>
            <w:r w:rsidR="00727F12">
              <w:t xml:space="preserve"> behavioral health and psychiatry </w:t>
            </w:r>
            <w:r>
              <w:t>referral</w:t>
            </w:r>
            <w:r w:rsidR="00727F12">
              <w:t>s</w:t>
            </w:r>
            <w:r>
              <w:t xml:space="preserve"> and visits</w:t>
            </w:r>
            <w:r w:rsidR="00727F12">
              <w:t xml:space="preserve">; </w:t>
            </w:r>
            <w:r>
              <w:t xml:space="preserve">an increased rate of screening and a </w:t>
            </w:r>
            <w:r w:rsidR="00727F12">
              <w:t xml:space="preserve">reduction in </w:t>
            </w:r>
            <w:r>
              <w:t xml:space="preserve">patient depression and anxiety; </w:t>
            </w:r>
            <w:r w:rsidR="00727F12">
              <w:t xml:space="preserve"> reduced </w:t>
            </w:r>
            <w:r>
              <w:t xml:space="preserve">inpatient, ED, and observation stay </w:t>
            </w:r>
            <w:r w:rsidR="00727F12">
              <w:t>cost and utilization; increased awareness</w:t>
            </w:r>
            <w:r>
              <w:t xml:space="preserve"> and adoption</w:t>
            </w:r>
            <w:r w:rsidR="00727F12">
              <w:t xml:space="preserve"> of</w:t>
            </w:r>
            <w:r>
              <w:t xml:space="preserve"> the</w:t>
            </w:r>
            <w:r w:rsidR="00727F12">
              <w:t xml:space="preserve"> program among primary care and specialty providers, patients</w:t>
            </w:r>
            <w:r>
              <w:t>,</w:t>
            </w:r>
            <w:r w:rsidR="00727F12">
              <w:t xml:space="preserve"> and the community; </w:t>
            </w:r>
            <w:r>
              <w:t xml:space="preserve">and the successful </w:t>
            </w:r>
            <w:r w:rsidR="00727F12">
              <w:t>launch of new behavioral health tracking registry</w:t>
            </w:r>
            <w:r>
              <w:t xml:space="preserve"> available through the organization’s electronic medical record.</w:t>
            </w:r>
          </w:p>
        </w:tc>
      </w:tr>
      <w:tr w:rsidR="001062B6" w14:paraId="438C621A" w14:textId="77777777" w:rsidTr="000075DB">
        <w:trPr>
          <w:trHeight w:val="244"/>
        </w:trPr>
        <w:tc>
          <w:tcPr>
            <w:tcW w:w="3600" w:type="dxa"/>
          </w:tcPr>
          <w:p w14:paraId="7B9C5EAD" w14:textId="56A3505E" w:rsidR="001062B6" w:rsidRDefault="001062B6" w:rsidP="001062B6">
            <w:r>
              <w:rPr>
                <w:b/>
              </w:rPr>
              <w:lastRenderedPageBreak/>
              <w:t>Lessons Learned from the Intervention in FY 2018</w:t>
            </w:r>
          </w:p>
          <w:p w14:paraId="329FB042" w14:textId="38E90DE1" w:rsidR="001062B6" w:rsidRDefault="001062B6" w:rsidP="001062B6">
            <w:pPr>
              <w:rPr>
                <w:b/>
              </w:rPr>
            </w:pPr>
            <w:r w:rsidRPr="00F43692">
              <w:rPr>
                <w:i/>
                <w:sz w:val="20"/>
              </w:rPr>
              <w:t>Free Response, up to 1 Paragraph</w:t>
            </w:r>
          </w:p>
        </w:tc>
        <w:tc>
          <w:tcPr>
            <w:tcW w:w="5755" w:type="dxa"/>
          </w:tcPr>
          <w:p w14:paraId="33399816" w14:textId="650ED70F" w:rsidR="001062B6" w:rsidRDefault="009B45D4" w:rsidP="009B45D4">
            <w:r>
              <w:t>Lessons learned in FY 2018 include: gaining a better understanding of how to obtain primary care and specialty provider buy-in to the program; refining the practice workflows and s</w:t>
            </w:r>
            <w:r w:rsidR="00727F12">
              <w:t>cheduling to ensure warm hand-offs</w:t>
            </w:r>
            <w:r>
              <w:t xml:space="preserve"> between providers and the embedded mental health professionals</w:t>
            </w:r>
            <w:r w:rsidR="00727F12">
              <w:t xml:space="preserve">; </w:t>
            </w:r>
            <w:r>
              <w:t xml:space="preserve">and the need for improved predictive analytics to </w:t>
            </w:r>
            <w:r w:rsidR="00727F12">
              <w:t xml:space="preserve">proactively identify patients that could benefit from </w:t>
            </w:r>
            <w:r>
              <w:t xml:space="preserve">behavioral/mental health </w:t>
            </w:r>
            <w:r w:rsidR="00727F12">
              <w:t>referral</w:t>
            </w:r>
            <w:r>
              <w:t xml:space="preserve">, consultation, and </w:t>
            </w:r>
            <w:r w:rsidR="00727F12">
              <w:t xml:space="preserve">treatment. </w:t>
            </w:r>
          </w:p>
        </w:tc>
      </w:tr>
      <w:tr w:rsidR="001062B6" w14:paraId="485FA517" w14:textId="77777777" w:rsidTr="000075DB">
        <w:trPr>
          <w:trHeight w:val="244"/>
        </w:trPr>
        <w:tc>
          <w:tcPr>
            <w:tcW w:w="3600" w:type="dxa"/>
          </w:tcPr>
          <w:p w14:paraId="184D2CDD" w14:textId="38B55AB1" w:rsidR="001062B6" w:rsidRDefault="001062B6" w:rsidP="001062B6">
            <w:r>
              <w:rPr>
                <w:b/>
              </w:rPr>
              <w:t>Next Steps for the Intervention in FY 2019</w:t>
            </w:r>
          </w:p>
          <w:p w14:paraId="00A7CA3D" w14:textId="63BED507" w:rsidR="001062B6" w:rsidRDefault="001062B6" w:rsidP="001062B6">
            <w:pPr>
              <w:rPr>
                <w:b/>
              </w:rPr>
            </w:pPr>
            <w:r w:rsidRPr="00F43692">
              <w:rPr>
                <w:i/>
                <w:sz w:val="20"/>
              </w:rPr>
              <w:t>Free Response, up to 1 Paragraph</w:t>
            </w:r>
          </w:p>
        </w:tc>
        <w:tc>
          <w:tcPr>
            <w:tcW w:w="5755" w:type="dxa"/>
          </w:tcPr>
          <w:p w14:paraId="40062FAC" w14:textId="6CEBB222" w:rsidR="001062B6" w:rsidRDefault="009B45D4" w:rsidP="009B45D4">
            <w:r>
              <w:rPr>
                <w:rFonts w:eastAsia="Times New Roman"/>
                <w:color w:val="000000"/>
              </w:rPr>
              <w:t>Next steps in FY 2019 include: continued focus on increasing referrals and completed visits, given there is a no show rate of</w:t>
            </w:r>
            <w:r w:rsidR="0012525F">
              <w:rPr>
                <w:rFonts w:eastAsia="Times New Roman"/>
                <w:color w:val="000000"/>
              </w:rPr>
              <w:t xml:space="preserve"> 12</w:t>
            </w:r>
            <w:r>
              <w:rPr>
                <w:rFonts w:eastAsia="Times New Roman"/>
                <w:color w:val="000000"/>
              </w:rPr>
              <w:t>.6 % for behavioral health appointments and no show rate of 8.6 % for p</w:t>
            </w:r>
            <w:r w:rsidR="0012525F">
              <w:rPr>
                <w:rFonts w:eastAsia="Times New Roman"/>
                <w:color w:val="000000"/>
              </w:rPr>
              <w:t>sychiatry appointments</w:t>
            </w:r>
            <w:r w:rsidR="00727F12">
              <w:rPr>
                <w:rFonts w:eastAsia="Times New Roman"/>
                <w:color w:val="000000"/>
              </w:rPr>
              <w:t xml:space="preserve">; </w:t>
            </w:r>
            <w:r>
              <w:rPr>
                <w:rFonts w:eastAsia="Times New Roman"/>
                <w:color w:val="000000"/>
              </w:rPr>
              <w:t>continued refinement of practice workflows to ensure that behavioral health embedded staff are truly integrated into the practice locations; and, increased sophistication in behavioral health predictive analytics and developing a patient t</w:t>
            </w:r>
            <w:r w:rsidR="00727F12">
              <w:rPr>
                <w:rFonts w:eastAsia="Times New Roman"/>
                <w:color w:val="000000"/>
              </w:rPr>
              <w:t>argeting registry</w:t>
            </w:r>
            <w:r>
              <w:rPr>
                <w:rFonts w:eastAsia="Times New Roman"/>
                <w:color w:val="000000"/>
              </w:rPr>
              <w:t>.</w:t>
            </w:r>
          </w:p>
        </w:tc>
      </w:tr>
      <w:tr w:rsidR="001062B6" w14:paraId="7E27DE5C" w14:textId="77777777" w:rsidTr="00FB3E79">
        <w:trPr>
          <w:trHeight w:val="649"/>
        </w:trPr>
        <w:tc>
          <w:tcPr>
            <w:tcW w:w="3600" w:type="dxa"/>
          </w:tcPr>
          <w:p w14:paraId="5D243EF5" w14:textId="66E7F51C" w:rsidR="001062B6" w:rsidRPr="00FB3E79" w:rsidRDefault="001062B6" w:rsidP="001062B6">
            <w:r>
              <w:rPr>
                <w:b/>
              </w:rPr>
              <w:t>Additional Free Response</w:t>
            </w:r>
            <w:r>
              <w:t xml:space="preserve"> (Optional)</w:t>
            </w:r>
          </w:p>
        </w:tc>
        <w:tc>
          <w:tcPr>
            <w:tcW w:w="5755" w:type="dxa"/>
          </w:tcPr>
          <w:p w14:paraId="52901FFC" w14:textId="77777777" w:rsidR="001062B6" w:rsidRDefault="001062B6" w:rsidP="001062B6"/>
        </w:tc>
      </w:tr>
    </w:tbl>
    <w:p w14:paraId="049A4C4B" w14:textId="2182C15E" w:rsidR="007B52B7" w:rsidRDefault="007B52B7" w:rsidP="00F43692"/>
    <w:tbl>
      <w:tblPr>
        <w:tblStyle w:val="TableGridLight"/>
        <w:tblW w:w="9355" w:type="dxa"/>
        <w:tblCellMar>
          <w:top w:w="115" w:type="dxa"/>
          <w:left w:w="115" w:type="dxa"/>
          <w:bottom w:w="115" w:type="dxa"/>
          <w:right w:w="115" w:type="dxa"/>
        </w:tblCellMar>
        <w:tblLook w:val="04A0" w:firstRow="1" w:lastRow="0" w:firstColumn="1" w:lastColumn="0" w:noHBand="0" w:noVBand="1"/>
      </w:tblPr>
      <w:tblGrid>
        <w:gridCol w:w="3600"/>
        <w:gridCol w:w="5755"/>
      </w:tblGrid>
      <w:tr w:rsidR="001062B6" w14:paraId="215E6868" w14:textId="77777777" w:rsidTr="000D0468">
        <w:tc>
          <w:tcPr>
            <w:tcW w:w="3600" w:type="dxa"/>
          </w:tcPr>
          <w:p w14:paraId="783DFC04" w14:textId="77777777" w:rsidR="001062B6" w:rsidRPr="00F43692" w:rsidRDefault="001062B6" w:rsidP="000D0468">
            <w:pPr>
              <w:rPr>
                <w:b/>
              </w:rPr>
            </w:pPr>
            <w:r w:rsidRPr="00F43692">
              <w:rPr>
                <w:b/>
              </w:rPr>
              <w:t>Intervention or Program Name</w:t>
            </w:r>
          </w:p>
        </w:tc>
        <w:tc>
          <w:tcPr>
            <w:tcW w:w="5755" w:type="dxa"/>
          </w:tcPr>
          <w:p w14:paraId="7CFA1757" w14:textId="4D16C71D" w:rsidR="001062B6" w:rsidRDefault="001062B6" w:rsidP="001062B6">
            <w:r>
              <w:t>Expansion and Management of Chronic Conditions Through Palliative Care Services</w:t>
            </w:r>
          </w:p>
        </w:tc>
      </w:tr>
      <w:tr w:rsidR="001062B6" w14:paraId="03C8969D" w14:textId="77777777" w:rsidTr="000D0468">
        <w:tc>
          <w:tcPr>
            <w:tcW w:w="3600" w:type="dxa"/>
          </w:tcPr>
          <w:p w14:paraId="3DD824BD" w14:textId="77777777" w:rsidR="001062B6" w:rsidRPr="00F43692" w:rsidRDefault="001062B6" w:rsidP="000D0468">
            <w:pPr>
              <w:rPr>
                <w:b/>
              </w:rPr>
            </w:pPr>
            <w:r w:rsidRPr="00F43692">
              <w:rPr>
                <w:b/>
              </w:rPr>
              <w:t>RP Hospitals Participating in Intervention</w:t>
            </w:r>
          </w:p>
          <w:p w14:paraId="28064107" w14:textId="77777777" w:rsidR="001062B6" w:rsidRPr="009C7A37" w:rsidRDefault="001062B6" w:rsidP="000D0468">
            <w:pPr>
              <w:rPr>
                <w:i/>
              </w:rPr>
            </w:pPr>
            <w:r w:rsidRPr="000075DB">
              <w:rPr>
                <w:i/>
                <w:sz w:val="20"/>
              </w:rPr>
              <w:t>Please indicate if All; otherwise, please indicate which of the RP Hospitals are participating</w:t>
            </w:r>
            <w:r>
              <w:rPr>
                <w:i/>
                <w:sz w:val="20"/>
              </w:rPr>
              <w:t>.</w:t>
            </w:r>
          </w:p>
        </w:tc>
        <w:tc>
          <w:tcPr>
            <w:tcW w:w="5755" w:type="dxa"/>
          </w:tcPr>
          <w:p w14:paraId="12F95F45" w14:textId="6BEC2D58" w:rsidR="001062B6" w:rsidRDefault="00CC534F" w:rsidP="000D0468">
            <w:r>
              <w:t>Greater Baltimore Medical Center</w:t>
            </w:r>
          </w:p>
        </w:tc>
      </w:tr>
      <w:tr w:rsidR="001062B6" w14:paraId="08E895D5" w14:textId="77777777" w:rsidTr="000D0468">
        <w:tc>
          <w:tcPr>
            <w:tcW w:w="3600" w:type="dxa"/>
          </w:tcPr>
          <w:p w14:paraId="4146AF85" w14:textId="77777777" w:rsidR="001062B6" w:rsidRPr="00F43692" w:rsidRDefault="001062B6" w:rsidP="000D0468">
            <w:pPr>
              <w:rPr>
                <w:b/>
              </w:rPr>
            </w:pPr>
            <w:r w:rsidRPr="00F43692">
              <w:rPr>
                <w:b/>
              </w:rPr>
              <w:t>Brief description of the Intervention</w:t>
            </w:r>
          </w:p>
          <w:p w14:paraId="4FC85AC8" w14:textId="77777777" w:rsidR="001062B6" w:rsidRPr="005733DE" w:rsidRDefault="001062B6" w:rsidP="000D0468">
            <w:pPr>
              <w:rPr>
                <w:i/>
              </w:rPr>
            </w:pPr>
            <w:r w:rsidRPr="005733DE">
              <w:rPr>
                <w:i/>
              </w:rPr>
              <w:t>2-3 sentences</w:t>
            </w:r>
          </w:p>
        </w:tc>
        <w:tc>
          <w:tcPr>
            <w:tcW w:w="5755" w:type="dxa"/>
          </w:tcPr>
          <w:p w14:paraId="544F7FD9" w14:textId="07B01784" w:rsidR="001062B6" w:rsidRDefault="00CC534F" w:rsidP="00CC534F">
            <w:pPr>
              <w:widowControl w:val="0"/>
              <w:spacing w:after="120"/>
              <w:ind w:right="129"/>
            </w:pPr>
            <w:r w:rsidRPr="00CC534F">
              <w:rPr>
                <w:rFonts w:eastAsia="Times New Roman" w:cs="Times New Roman"/>
                <w:spacing w:val="4"/>
              </w:rPr>
              <w:t xml:space="preserve">GBMC’s Gilchrist Services, in partnership with MedStar’s Total Elder Care (TEC) program, </w:t>
            </w:r>
            <w:r>
              <w:rPr>
                <w:rFonts w:eastAsia="Times New Roman" w:cs="Times New Roman"/>
                <w:spacing w:val="4"/>
              </w:rPr>
              <w:t>has</w:t>
            </w:r>
            <w:r w:rsidRPr="00CC534F">
              <w:rPr>
                <w:rFonts w:eastAsia="Times New Roman" w:cs="Times New Roman"/>
                <w:spacing w:val="4"/>
              </w:rPr>
              <w:t xml:space="preserve"> expand</w:t>
            </w:r>
            <w:r>
              <w:rPr>
                <w:rFonts w:eastAsia="Times New Roman" w:cs="Times New Roman"/>
                <w:spacing w:val="4"/>
              </w:rPr>
              <w:t>ed</w:t>
            </w:r>
            <w:r w:rsidRPr="00CC534F">
              <w:rPr>
                <w:rFonts w:eastAsia="Times New Roman" w:cs="Times New Roman"/>
                <w:spacing w:val="4"/>
              </w:rPr>
              <w:t xml:space="preserve"> the program </w:t>
            </w:r>
            <w:r>
              <w:rPr>
                <w:rFonts w:eastAsia="Times New Roman" w:cs="Times New Roman"/>
                <w:spacing w:val="4"/>
              </w:rPr>
              <w:t xml:space="preserve">Elder Medical Care (formerly </w:t>
            </w:r>
            <w:r w:rsidRPr="00CC534F">
              <w:rPr>
                <w:rFonts w:eastAsia="Times New Roman" w:cs="Times New Roman"/>
                <w:spacing w:val="4"/>
              </w:rPr>
              <w:t>Support Our Elders</w:t>
            </w:r>
            <w:r>
              <w:rPr>
                <w:rFonts w:eastAsia="Times New Roman" w:cs="Times New Roman"/>
                <w:spacing w:val="4"/>
              </w:rPr>
              <w:t>)</w:t>
            </w:r>
            <w:r w:rsidRPr="00CC534F">
              <w:rPr>
                <w:rFonts w:eastAsia="Times New Roman" w:cs="Times New Roman"/>
                <w:spacing w:val="4"/>
              </w:rPr>
              <w:t xml:space="preserve">.  Medicare patients who are unable to make frequent visits to the primary care physician are currently supported at home by a rounding </w:t>
            </w:r>
            <w:r>
              <w:rPr>
                <w:rFonts w:eastAsia="Times New Roman" w:cs="Times New Roman"/>
                <w:spacing w:val="4"/>
              </w:rPr>
              <w:t xml:space="preserve">interdisciplinary team including </w:t>
            </w:r>
            <w:r w:rsidRPr="00CC534F">
              <w:rPr>
                <w:rFonts w:eastAsia="Times New Roman" w:cs="Times New Roman"/>
                <w:spacing w:val="4"/>
              </w:rPr>
              <w:t xml:space="preserve">physicians, nurse practitioners, social workers, and administrative coordinators who can care for complex chronic conditions within the patient’s home. Gilchrist Services </w:t>
            </w:r>
            <w:r>
              <w:rPr>
                <w:rFonts w:eastAsia="Times New Roman" w:cs="Times New Roman"/>
                <w:spacing w:val="4"/>
              </w:rPr>
              <w:t>has also</w:t>
            </w:r>
            <w:r w:rsidRPr="00CC534F">
              <w:rPr>
                <w:rFonts w:eastAsia="Times New Roman" w:cs="Times New Roman"/>
                <w:spacing w:val="4"/>
              </w:rPr>
              <w:t xml:space="preserve"> expand</w:t>
            </w:r>
            <w:r>
              <w:rPr>
                <w:rFonts w:eastAsia="Times New Roman" w:cs="Times New Roman"/>
                <w:spacing w:val="4"/>
              </w:rPr>
              <w:t>ed</w:t>
            </w:r>
            <w:r w:rsidRPr="00CC534F">
              <w:rPr>
                <w:rFonts w:eastAsia="Times New Roman" w:cs="Times New Roman"/>
                <w:spacing w:val="4"/>
              </w:rPr>
              <w:t xml:space="preserve"> the palliative care program in partnership with area nursing homes, which provides palliative services by a nurse practitioner to better manage symptoms and discuss patient care plans.</w:t>
            </w:r>
          </w:p>
        </w:tc>
      </w:tr>
      <w:tr w:rsidR="001062B6" w14:paraId="4A76327B" w14:textId="77777777" w:rsidTr="000D0468">
        <w:tc>
          <w:tcPr>
            <w:tcW w:w="3600" w:type="dxa"/>
          </w:tcPr>
          <w:p w14:paraId="5DC8B25E" w14:textId="77777777" w:rsidR="001062B6" w:rsidRDefault="001062B6" w:rsidP="000D0468">
            <w:pPr>
              <w:rPr>
                <w:b/>
              </w:rPr>
            </w:pPr>
            <w:r w:rsidRPr="00F43692">
              <w:rPr>
                <w:b/>
              </w:rPr>
              <w:lastRenderedPageBreak/>
              <w:t>Participating Program Partners</w:t>
            </w:r>
          </w:p>
          <w:p w14:paraId="776F9D82" w14:textId="77777777" w:rsidR="001062B6" w:rsidRPr="00F43692" w:rsidRDefault="001062B6" w:rsidP="000D0468">
            <w:pPr>
              <w:rPr>
                <w:b/>
              </w:rPr>
            </w:pPr>
            <w:r w:rsidRPr="000075DB">
              <w:rPr>
                <w:i/>
                <w:sz w:val="20"/>
                <w:szCs w:val="20"/>
              </w:rPr>
              <w:t>Please</w:t>
            </w:r>
            <w:r>
              <w:rPr>
                <w:i/>
                <w:sz w:val="20"/>
                <w:szCs w:val="20"/>
              </w:rPr>
              <w:t xml:space="preserve"> list </w:t>
            </w:r>
            <w:r>
              <w:rPr>
                <w:i/>
                <w:sz w:val="20"/>
              </w:rPr>
              <w:t>the relevant community-based organizations or provider groups, contractors, and/or public partners</w:t>
            </w:r>
          </w:p>
        </w:tc>
        <w:tc>
          <w:tcPr>
            <w:tcW w:w="5755" w:type="dxa"/>
          </w:tcPr>
          <w:p w14:paraId="0FFA6A82" w14:textId="77777777" w:rsidR="001062B6" w:rsidRPr="000E2355" w:rsidRDefault="001062B6" w:rsidP="000D0468">
            <w:pPr>
              <w:pStyle w:val="BodyText"/>
              <w:numPr>
                <w:ilvl w:val="0"/>
                <w:numId w:val="8"/>
              </w:numPr>
              <w:spacing w:before="1"/>
              <w:ind w:right="56"/>
              <w:rPr>
                <w:rFonts w:asciiTheme="minorHAnsi" w:hAnsiTheme="minorHAnsi"/>
                <w:sz w:val="22"/>
                <w:szCs w:val="22"/>
              </w:rPr>
            </w:pPr>
            <w:r w:rsidRPr="000E2355">
              <w:rPr>
                <w:rFonts w:asciiTheme="minorHAnsi" w:hAnsiTheme="minorHAnsi" w:cs="Times New Roman"/>
                <w:bCs/>
                <w:sz w:val="22"/>
                <w:szCs w:val="22"/>
              </w:rPr>
              <w:t>Alleg</w:t>
            </w:r>
            <w:r w:rsidRPr="000E2355">
              <w:rPr>
                <w:rFonts w:asciiTheme="minorHAnsi" w:hAnsiTheme="minorHAnsi" w:cs="Times New Roman"/>
                <w:bCs/>
                <w:spacing w:val="-2"/>
                <w:sz w:val="22"/>
                <w:szCs w:val="22"/>
              </w:rPr>
              <w:t>e</w:t>
            </w:r>
            <w:r w:rsidRPr="000E2355">
              <w:rPr>
                <w:rFonts w:asciiTheme="minorHAnsi" w:hAnsiTheme="minorHAnsi" w:cs="Times New Roman"/>
                <w:bCs/>
                <w:sz w:val="22"/>
                <w:szCs w:val="22"/>
              </w:rPr>
              <w:t>ant</w:t>
            </w:r>
          </w:p>
          <w:p w14:paraId="14D4AE75" w14:textId="77777777" w:rsidR="001062B6" w:rsidRPr="000E2355" w:rsidRDefault="001062B6" w:rsidP="000D0468">
            <w:pPr>
              <w:pStyle w:val="BodyText"/>
              <w:numPr>
                <w:ilvl w:val="0"/>
                <w:numId w:val="8"/>
              </w:numPr>
              <w:spacing w:before="2"/>
              <w:ind w:right="105"/>
              <w:rPr>
                <w:rFonts w:asciiTheme="minorHAnsi" w:hAnsiTheme="minorHAnsi"/>
                <w:sz w:val="22"/>
                <w:szCs w:val="22"/>
              </w:rPr>
            </w:pPr>
            <w:r w:rsidRPr="000E2355">
              <w:rPr>
                <w:rFonts w:asciiTheme="minorHAnsi" w:hAnsiTheme="minorHAnsi" w:cs="Times New Roman"/>
                <w:bCs/>
                <w:sz w:val="22"/>
                <w:szCs w:val="22"/>
              </w:rPr>
              <w:t>Balti</w:t>
            </w:r>
            <w:r w:rsidRPr="000E2355">
              <w:rPr>
                <w:rFonts w:asciiTheme="minorHAnsi" w:hAnsiTheme="minorHAnsi" w:cs="Times New Roman"/>
                <w:bCs/>
                <w:spacing w:val="-3"/>
                <w:sz w:val="22"/>
                <w:szCs w:val="22"/>
              </w:rPr>
              <w:t>m</w:t>
            </w:r>
            <w:r w:rsidRPr="000E2355">
              <w:rPr>
                <w:rFonts w:asciiTheme="minorHAnsi" w:hAnsiTheme="minorHAnsi" w:cs="Times New Roman"/>
                <w:bCs/>
                <w:sz w:val="22"/>
                <w:szCs w:val="22"/>
              </w:rPr>
              <w:t>o</w:t>
            </w:r>
            <w:r w:rsidRPr="000E2355">
              <w:rPr>
                <w:rFonts w:asciiTheme="minorHAnsi" w:hAnsiTheme="minorHAnsi" w:cs="Times New Roman"/>
                <w:bCs/>
                <w:spacing w:val="1"/>
                <w:sz w:val="22"/>
                <w:szCs w:val="22"/>
              </w:rPr>
              <w:t>r</w:t>
            </w:r>
            <w:r w:rsidRPr="000E2355">
              <w:rPr>
                <w:rFonts w:asciiTheme="minorHAnsi" w:hAnsiTheme="minorHAnsi" w:cs="Times New Roman"/>
                <w:bCs/>
                <w:sz w:val="22"/>
                <w:szCs w:val="22"/>
              </w:rPr>
              <w:t>e</w:t>
            </w:r>
            <w:r w:rsidRPr="000E2355">
              <w:rPr>
                <w:rFonts w:asciiTheme="minorHAnsi" w:hAnsiTheme="minorHAnsi" w:cs="Times New Roman"/>
                <w:bCs/>
                <w:spacing w:val="-1"/>
                <w:sz w:val="22"/>
                <w:szCs w:val="22"/>
              </w:rPr>
              <w:t xml:space="preserve"> </w:t>
            </w:r>
            <w:r w:rsidRPr="000E2355">
              <w:rPr>
                <w:rFonts w:asciiTheme="minorHAnsi" w:hAnsiTheme="minorHAnsi" w:cs="Times New Roman"/>
                <w:bCs/>
                <w:sz w:val="22"/>
                <w:szCs w:val="22"/>
              </w:rPr>
              <w:t>Cou</w:t>
            </w:r>
            <w:r w:rsidRPr="000E2355">
              <w:rPr>
                <w:rFonts w:asciiTheme="minorHAnsi" w:hAnsiTheme="minorHAnsi" w:cs="Times New Roman"/>
                <w:bCs/>
                <w:spacing w:val="1"/>
                <w:sz w:val="22"/>
                <w:szCs w:val="22"/>
              </w:rPr>
              <w:t>n</w:t>
            </w:r>
            <w:r w:rsidRPr="000E2355">
              <w:rPr>
                <w:rFonts w:asciiTheme="minorHAnsi" w:hAnsiTheme="minorHAnsi" w:cs="Times New Roman"/>
                <w:bCs/>
                <w:sz w:val="22"/>
                <w:szCs w:val="22"/>
              </w:rPr>
              <w:t>ty H</w:t>
            </w:r>
            <w:r w:rsidRPr="000E2355">
              <w:rPr>
                <w:rFonts w:asciiTheme="minorHAnsi" w:hAnsiTheme="minorHAnsi" w:cs="Times New Roman"/>
                <w:bCs/>
                <w:spacing w:val="-2"/>
                <w:sz w:val="22"/>
                <w:szCs w:val="22"/>
              </w:rPr>
              <w:t>e</w:t>
            </w:r>
            <w:r w:rsidRPr="000E2355">
              <w:rPr>
                <w:rFonts w:asciiTheme="minorHAnsi" w:hAnsiTheme="minorHAnsi" w:cs="Times New Roman"/>
                <w:bCs/>
                <w:sz w:val="22"/>
                <w:szCs w:val="22"/>
              </w:rPr>
              <w:t>alth D</w:t>
            </w:r>
            <w:r w:rsidRPr="000E2355">
              <w:rPr>
                <w:rFonts w:asciiTheme="minorHAnsi" w:hAnsiTheme="minorHAnsi" w:cs="Times New Roman"/>
                <w:bCs/>
                <w:spacing w:val="-1"/>
                <w:sz w:val="22"/>
                <w:szCs w:val="22"/>
              </w:rPr>
              <w:t>e</w:t>
            </w:r>
            <w:r w:rsidRPr="000E2355">
              <w:rPr>
                <w:rFonts w:asciiTheme="minorHAnsi" w:hAnsiTheme="minorHAnsi" w:cs="Times New Roman"/>
                <w:bCs/>
                <w:sz w:val="22"/>
                <w:szCs w:val="22"/>
              </w:rPr>
              <w:t>pa</w:t>
            </w:r>
            <w:r w:rsidRPr="000E2355">
              <w:rPr>
                <w:rFonts w:asciiTheme="minorHAnsi" w:hAnsiTheme="minorHAnsi" w:cs="Times New Roman"/>
                <w:bCs/>
                <w:spacing w:val="-1"/>
                <w:sz w:val="22"/>
                <w:szCs w:val="22"/>
              </w:rPr>
              <w:t>r</w:t>
            </w:r>
            <w:r w:rsidRPr="000E2355">
              <w:rPr>
                <w:rFonts w:asciiTheme="minorHAnsi" w:hAnsiTheme="minorHAnsi" w:cs="Times New Roman"/>
                <w:bCs/>
                <w:spacing w:val="1"/>
                <w:sz w:val="22"/>
                <w:szCs w:val="22"/>
              </w:rPr>
              <w:t>t</w:t>
            </w:r>
            <w:r w:rsidRPr="000E2355">
              <w:rPr>
                <w:rFonts w:asciiTheme="minorHAnsi" w:hAnsiTheme="minorHAnsi" w:cs="Times New Roman"/>
                <w:bCs/>
                <w:spacing w:val="-1"/>
                <w:sz w:val="22"/>
                <w:szCs w:val="22"/>
              </w:rPr>
              <w:t>me</w:t>
            </w:r>
            <w:r w:rsidRPr="000E2355">
              <w:rPr>
                <w:rFonts w:asciiTheme="minorHAnsi" w:hAnsiTheme="minorHAnsi" w:cs="Times New Roman"/>
                <w:bCs/>
                <w:sz w:val="22"/>
                <w:szCs w:val="22"/>
              </w:rPr>
              <w:t>nt</w:t>
            </w:r>
            <w:r w:rsidRPr="000E2355">
              <w:rPr>
                <w:rFonts w:asciiTheme="minorHAnsi" w:hAnsiTheme="minorHAnsi"/>
                <w:sz w:val="22"/>
                <w:szCs w:val="22"/>
              </w:rPr>
              <w:t xml:space="preserve"> </w:t>
            </w:r>
          </w:p>
          <w:p w14:paraId="3E357EF1" w14:textId="77777777" w:rsidR="001062B6" w:rsidRPr="00D676CA" w:rsidRDefault="001062B6" w:rsidP="000D0468">
            <w:pPr>
              <w:pStyle w:val="BodyText"/>
              <w:numPr>
                <w:ilvl w:val="0"/>
                <w:numId w:val="8"/>
              </w:numPr>
              <w:spacing w:before="2"/>
              <w:ind w:right="105"/>
              <w:rPr>
                <w:rFonts w:asciiTheme="minorHAnsi" w:hAnsiTheme="minorHAnsi"/>
                <w:sz w:val="22"/>
                <w:szCs w:val="22"/>
              </w:rPr>
            </w:pPr>
            <w:r w:rsidRPr="000E2355">
              <w:rPr>
                <w:rFonts w:asciiTheme="minorHAnsi" w:hAnsiTheme="minorHAnsi" w:cs="Times New Roman"/>
                <w:bCs/>
                <w:sz w:val="22"/>
                <w:szCs w:val="22"/>
              </w:rPr>
              <w:t>Ca</w:t>
            </w:r>
            <w:r w:rsidRPr="000E2355">
              <w:rPr>
                <w:rFonts w:asciiTheme="minorHAnsi" w:hAnsiTheme="minorHAnsi" w:cs="Times New Roman"/>
                <w:bCs/>
                <w:spacing w:val="-2"/>
                <w:sz w:val="22"/>
                <w:szCs w:val="22"/>
              </w:rPr>
              <w:t>r</w:t>
            </w:r>
            <w:r w:rsidRPr="000E2355">
              <w:rPr>
                <w:rFonts w:asciiTheme="minorHAnsi" w:hAnsiTheme="minorHAnsi" w:cs="Times New Roman"/>
                <w:bCs/>
                <w:sz w:val="22"/>
                <w:szCs w:val="22"/>
              </w:rPr>
              <w:t>e</w:t>
            </w:r>
            <w:r w:rsidRPr="000E2355">
              <w:rPr>
                <w:rFonts w:asciiTheme="minorHAnsi" w:hAnsiTheme="minorHAnsi" w:cs="Times New Roman"/>
                <w:bCs/>
                <w:spacing w:val="1"/>
                <w:sz w:val="22"/>
                <w:szCs w:val="22"/>
              </w:rPr>
              <w:t xml:space="preserve"> </w:t>
            </w:r>
            <w:r w:rsidRPr="000E2355">
              <w:rPr>
                <w:rFonts w:asciiTheme="minorHAnsi" w:hAnsiTheme="minorHAnsi" w:cs="Times New Roman"/>
                <w:bCs/>
                <w:spacing w:val="-3"/>
                <w:sz w:val="22"/>
                <w:szCs w:val="22"/>
              </w:rPr>
              <w:t>P</w:t>
            </w:r>
            <w:r w:rsidRPr="000E2355">
              <w:rPr>
                <w:rFonts w:asciiTheme="minorHAnsi" w:hAnsiTheme="minorHAnsi" w:cs="Times New Roman"/>
                <w:bCs/>
                <w:spacing w:val="-1"/>
                <w:sz w:val="22"/>
                <w:szCs w:val="22"/>
              </w:rPr>
              <w:t>r</w:t>
            </w:r>
            <w:r w:rsidRPr="000E2355">
              <w:rPr>
                <w:rFonts w:asciiTheme="minorHAnsi" w:hAnsiTheme="minorHAnsi" w:cs="Times New Roman"/>
                <w:bCs/>
                <w:sz w:val="22"/>
                <w:szCs w:val="22"/>
              </w:rPr>
              <w:t>o</w:t>
            </w:r>
            <w:r w:rsidRPr="000E2355">
              <w:rPr>
                <w:rFonts w:asciiTheme="minorHAnsi" w:hAnsiTheme="minorHAnsi" w:cs="Times New Roman"/>
                <w:bCs/>
                <w:spacing w:val="2"/>
                <w:sz w:val="22"/>
                <w:szCs w:val="22"/>
              </w:rPr>
              <w:t>g</w:t>
            </w:r>
            <w:r w:rsidRPr="000E2355">
              <w:rPr>
                <w:rFonts w:asciiTheme="minorHAnsi" w:hAnsiTheme="minorHAnsi" w:cs="Times New Roman"/>
                <w:bCs/>
                <w:spacing w:val="-1"/>
                <w:sz w:val="22"/>
                <w:szCs w:val="22"/>
              </w:rPr>
              <w:t>re</w:t>
            </w:r>
            <w:r w:rsidRPr="000E2355">
              <w:rPr>
                <w:rFonts w:asciiTheme="minorHAnsi" w:hAnsiTheme="minorHAnsi" w:cs="Times New Roman"/>
                <w:bCs/>
                <w:sz w:val="22"/>
                <w:szCs w:val="22"/>
              </w:rPr>
              <w:t>ss, LLC</w:t>
            </w:r>
            <w:r w:rsidRPr="000E2355">
              <w:rPr>
                <w:rFonts w:asciiTheme="minorHAnsi" w:hAnsiTheme="minorHAnsi" w:cs="Times New Roman"/>
                <w:bCs/>
                <w:spacing w:val="-1"/>
                <w:sz w:val="22"/>
                <w:szCs w:val="22"/>
              </w:rPr>
              <w:t xml:space="preserve">  </w:t>
            </w:r>
          </w:p>
          <w:p w14:paraId="2553C57C" w14:textId="77777777" w:rsidR="001062B6" w:rsidRPr="000E2355" w:rsidRDefault="001062B6" w:rsidP="000D0468">
            <w:pPr>
              <w:pStyle w:val="BodyText"/>
              <w:numPr>
                <w:ilvl w:val="0"/>
                <w:numId w:val="8"/>
              </w:numPr>
              <w:spacing w:before="2"/>
              <w:ind w:right="105"/>
              <w:rPr>
                <w:rFonts w:asciiTheme="minorHAnsi" w:hAnsiTheme="minorHAnsi"/>
                <w:sz w:val="22"/>
                <w:szCs w:val="22"/>
              </w:rPr>
            </w:pPr>
            <w:r>
              <w:rPr>
                <w:rFonts w:asciiTheme="minorHAnsi" w:hAnsiTheme="minorHAnsi" w:cs="Times New Roman"/>
                <w:bCs/>
                <w:spacing w:val="-1"/>
                <w:sz w:val="22"/>
                <w:szCs w:val="22"/>
              </w:rPr>
              <w:t>Catholic Charities</w:t>
            </w:r>
          </w:p>
          <w:p w14:paraId="19CBE909" w14:textId="77777777" w:rsidR="001062B6" w:rsidRPr="000E2355" w:rsidRDefault="001062B6" w:rsidP="000D0468">
            <w:pPr>
              <w:pStyle w:val="BodyText"/>
              <w:numPr>
                <w:ilvl w:val="0"/>
                <w:numId w:val="8"/>
              </w:numPr>
              <w:spacing w:before="2"/>
              <w:ind w:right="138"/>
              <w:rPr>
                <w:rFonts w:asciiTheme="minorHAnsi" w:hAnsiTheme="minorHAnsi"/>
                <w:spacing w:val="2"/>
                <w:sz w:val="22"/>
                <w:szCs w:val="22"/>
              </w:rPr>
            </w:pPr>
            <w:r w:rsidRPr="000E2355">
              <w:rPr>
                <w:rFonts w:asciiTheme="minorHAnsi" w:hAnsiTheme="minorHAnsi" w:cs="Times New Roman"/>
                <w:bCs/>
                <w:sz w:val="22"/>
                <w:szCs w:val="22"/>
              </w:rPr>
              <w:t>Ev</w:t>
            </w:r>
            <w:r w:rsidRPr="000E2355">
              <w:rPr>
                <w:rFonts w:asciiTheme="minorHAnsi" w:hAnsiTheme="minorHAnsi" w:cs="Times New Roman"/>
                <w:bCs/>
                <w:spacing w:val="-1"/>
                <w:sz w:val="22"/>
                <w:szCs w:val="22"/>
              </w:rPr>
              <w:t>er</w:t>
            </w:r>
            <w:r w:rsidRPr="000E2355">
              <w:rPr>
                <w:rFonts w:asciiTheme="minorHAnsi" w:hAnsiTheme="minorHAnsi" w:cs="Times New Roman"/>
                <w:bCs/>
                <w:sz w:val="22"/>
                <w:szCs w:val="22"/>
              </w:rPr>
              <w:t>g</w:t>
            </w:r>
            <w:r w:rsidRPr="000E2355">
              <w:rPr>
                <w:rFonts w:asciiTheme="minorHAnsi" w:hAnsiTheme="minorHAnsi" w:cs="Times New Roman"/>
                <w:bCs/>
                <w:spacing w:val="-1"/>
                <w:sz w:val="22"/>
                <w:szCs w:val="22"/>
              </w:rPr>
              <w:t>r</w:t>
            </w:r>
            <w:r w:rsidRPr="000E2355">
              <w:rPr>
                <w:rFonts w:asciiTheme="minorHAnsi" w:hAnsiTheme="minorHAnsi" w:cs="Times New Roman"/>
                <w:bCs/>
                <w:spacing w:val="1"/>
                <w:sz w:val="22"/>
                <w:szCs w:val="22"/>
              </w:rPr>
              <w:t>e</w:t>
            </w:r>
            <w:r w:rsidRPr="000E2355">
              <w:rPr>
                <w:rFonts w:asciiTheme="minorHAnsi" w:hAnsiTheme="minorHAnsi" w:cs="Times New Roman"/>
                <w:bCs/>
                <w:spacing w:val="-1"/>
                <w:sz w:val="22"/>
                <w:szCs w:val="22"/>
              </w:rPr>
              <w:t>e</w:t>
            </w:r>
            <w:r w:rsidRPr="000E2355">
              <w:rPr>
                <w:rFonts w:asciiTheme="minorHAnsi" w:hAnsiTheme="minorHAnsi" w:cs="Times New Roman"/>
                <w:bCs/>
                <w:sz w:val="22"/>
                <w:szCs w:val="22"/>
              </w:rPr>
              <w:t>n Heal</w:t>
            </w:r>
            <w:r w:rsidRPr="000E2355">
              <w:rPr>
                <w:rFonts w:asciiTheme="minorHAnsi" w:hAnsiTheme="minorHAnsi" w:cs="Times New Roman"/>
                <w:bCs/>
                <w:spacing w:val="-1"/>
                <w:sz w:val="22"/>
                <w:szCs w:val="22"/>
              </w:rPr>
              <w:t>t</w:t>
            </w:r>
            <w:r w:rsidRPr="000E2355">
              <w:rPr>
                <w:rFonts w:asciiTheme="minorHAnsi" w:hAnsiTheme="minorHAnsi" w:cs="Times New Roman"/>
                <w:bCs/>
                <w:sz w:val="22"/>
                <w:szCs w:val="22"/>
              </w:rPr>
              <w:t>h</w:t>
            </w:r>
          </w:p>
          <w:p w14:paraId="3EB7C095" w14:textId="77777777" w:rsidR="001062B6" w:rsidRPr="000E2355" w:rsidRDefault="001062B6" w:rsidP="000D0468">
            <w:pPr>
              <w:pStyle w:val="BodyText"/>
              <w:numPr>
                <w:ilvl w:val="0"/>
                <w:numId w:val="8"/>
              </w:numPr>
              <w:spacing w:before="3"/>
              <w:ind w:right="215"/>
              <w:rPr>
                <w:rFonts w:asciiTheme="minorHAnsi" w:hAnsiTheme="minorHAnsi"/>
                <w:sz w:val="22"/>
                <w:szCs w:val="22"/>
              </w:rPr>
            </w:pPr>
            <w:r w:rsidRPr="000E2355">
              <w:rPr>
                <w:rFonts w:asciiTheme="minorHAnsi" w:hAnsiTheme="minorHAnsi" w:cs="Times New Roman"/>
                <w:bCs/>
                <w:sz w:val="22"/>
                <w:szCs w:val="22"/>
              </w:rPr>
              <w:t>Heal</w:t>
            </w:r>
            <w:r w:rsidRPr="000E2355">
              <w:rPr>
                <w:rFonts w:asciiTheme="minorHAnsi" w:hAnsiTheme="minorHAnsi" w:cs="Times New Roman"/>
                <w:bCs/>
                <w:spacing w:val="-1"/>
                <w:sz w:val="22"/>
                <w:szCs w:val="22"/>
              </w:rPr>
              <w:t>t</w:t>
            </w:r>
            <w:r w:rsidRPr="000E2355">
              <w:rPr>
                <w:rFonts w:asciiTheme="minorHAnsi" w:hAnsiTheme="minorHAnsi" w:cs="Times New Roman"/>
                <w:bCs/>
                <w:sz w:val="22"/>
                <w:szCs w:val="22"/>
              </w:rPr>
              <w:t>h Ca</w:t>
            </w:r>
            <w:r w:rsidRPr="000E2355">
              <w:rPr>
                <w:rFonts w:asciiTheme="minorHAnsi" w:hAnsiTheme="minorHAnsi" w:cs="Times New Roman"/>
                <w:bCs/>
                <w:spacing w:val="-2"/>
                <w:sz w:val="22"/>
                <w:szCs w:val="22"/>
              </w:rPr>
              <w:t>r</w:t>
            </w:r>
            <w:r w:rsidRPr="000E2355">
              <w:rPr>
                <w:rFonts w:asciiTheme="minorHAnsi" w:hAnsiTheme="minorHAnsi" w:cs="Times New Roman"/>
                <w:bCs/>
                <w:sz w:val="22"/>
                <w:szCs w:val="22"/>
              </w:rPr>
              <w:t>e</w:t>
            </w:r>
            <w:r w:rsidRPr="000E2355">
              <w:rPr>
                <w:rFonts w:asciiTheme="minorHAnsi" w:hAnsiTheme="minorHAnsi" w:cs="Times New Roman"/>
                <w:bCs/>
                <w:spacing w:val="-1"/>
                <w:sz w:val="22"/>
                <w:szCs w:val="22"/>
              </w:rPr>
              <w:t xml:space="preserve"> </w:t>
            </w:r>
            <w:r w:rsidRPr="000E2355">
              <w:rPr>
                <w:rFonts w:asciiTheme="minorHAnsi" w:hAnsiTheme="minorHAnsi" w:cs="Times New Roman"/>
                <w:bCs/>
                <w:spacing w:val="1"/>
                <w:sz w:val="22"/>
                <w:szCs w:val="22"/>
              </w:rPr>
              <w:t>f</w:t>
            </w:r>
            <w:r w:rsidRPr="000E2355">
              <w:rPr>
                <w:rFonts w:asciiTheme="minorHAnsi" w:hAnsiTheme="minorHAnsi" w:cs="Times New Roman"/>
                <w:bCs/>
                <w:sz w:val="22"/>
                <w:szCs w:val="22"/>
              </w:rPr>
              <w:t>or</w:t>
            </w:r>
            <w:r w:rsidRPr="000E2355">
              <w:rPr>
                <w:rFonts w:asciiTheme="minorHAnsi" w:hAnsiTheme="minorHAnsi" w:cs="Times New Roman"/>
                <w:bCs/>
                <w:spacing w:val="-1"/>
                <w:sz w:val="22"/>
                <w:szCs w:val="22"/>
              </w:rPr>
              <w:t xml:space="preserve"> </w:t>
            </w:r>
            <w:r w:rsidRPr="000E2355">
              <w:rPr>
                <w:rFonts w:asciiTheme="minorHAnsi" w:hAnsiTheme="minorHAnsi" w:cs="Times New Roman"/>
                <w:bCs/>
                <w:sz w:val="22"/>
                <w:szCs w:val="22"/>
              </w:rPr>
              <w:t>All C</w:t>
            </w:r>
            <w:r w:rsidRPr="000E2355">
              <w:rPr>
                <w:rFonts w:asciiTheme="minorHAnsi" w:hAnsiTheme="minorHAnsi" w:cs="Times New Roman"/>
                <w:bCs/>
                <w:spacing w:val="2"/>
                <w:sz w:val="22"/>
                <w:szCs w:val="22"/>
              </w:rPr>
              <w:t>o</w:t>
            </w:r>
            <w:r w:rsidRPr="000E2355">
              <w:rPr>
                <w:rFonts w:asciiTheme="minorHAnsi" w:hAnsiTheme="minorHAnsi" w:cs="Times New Roman"/>
                <w:bCs/>
                <w:sz w:val="22"/>
                <w:szCs w:val="22"/>
              </w:rPr>
              <w:t>alition</w:t>
            </w:r>
          </w:p>
          <w:p w14:paraId="2A63E474" w14:textId="77777777" w:rsidR="001062B6" w:rsidRPr="000E2355" w:rsidRDefault="001062B6" w:rsidP="000D0468">
            <w:pPr>
              <w:pStyle w:val="BodyText"/>
              <w:numPr>
                <w:ilvl w:val="0"/>
                <w:numId w:val="8"/>
              </w:numPr>
              <w:spacing w:before="7"/>
              <w:ind w:right="56"/>
              <w:rPr>
                <w:rFonts w:asciiTheme="minorHAnsi" w:hAnsiTheme="minorHAnsi"/>
                <w:sz w:val="22"/>
                <w:szCs w:val="22"/>
              </w:rPr>
            </w:pPr>
            <w:r w:rsidRPr="000E2355">
              <w:rPr>
                <w:rFonts w:asciiTheme="minorHAnsi" w:hAnsiTheme="minorHAnsi" w:cs="Times New Roman"/>
                <w:bCs/>
                <w:spacing w:val="-2"/>
                <w:sz w:val="22"/>
                <w:szCs w:val="22"/>
              </w:rPr>
              <w:t>K</w:t>
            </w:r>
            <w:r w:rsidRPr="000E2355">
              <w:rPr>
                <w:rFonts w:asciiTheme="minorHAnsi" w:hAnsiTheme="minorHAnsi" w:cs="Times New Roman"/>
                <w:bCs/>
                <w:spacing w:val="-1"/>
                <w:sz w:val="22"/>
                <w:szCs w:val="22"/>
              </w:rPr>
              <w:t>e</w:t>
            </w:r>
            <w:r w:rsidRPr="000E2355">
              <w:rPr>
                <w:rFonts w:asciiTheme="minorHAnsi" w:hAnsiTheme="minorHAnsi" w:cs="Times New Roman"/>
                <w:bCs/>
                <w:sz w:val="22"/>
                <w:szCs w:val="22"/>
              </w:rPr>
              <w:t>s</w:t>
            </w:r>
            <w:r w:rsidRPr="000E2355">
              <w:rPr>
                <w:rFonts w:asciiTheme="minorHAnsi" w:hAnsiTheme="minorHAnsi" w:cs="Times New Roman"/>
                <w:bCs/>
                <w:spacing w:val="1"/>
                <w:sz w:val="22"/>
                <w:szCs w:val="22"/>
              </w:rPr>
              <w:t>w</w:t>
            </w:r>
            <w:r w:rsidRPr="000E2355">
              <w:rPr>
                <w:rFonts w:asciiTheme="minorHAnsi" w:hAnsiTheme="minorHAnsi" w:cs="Times New Roman"/>
                <w:bCs/>
                <w:sz w:val="22"/>
                <w:szCs w:val="22"/>
              </w:rPr>
              <w:t>ick Multi</w:t>
            </w:r>
            <w:r w:rsidRPr="000E2355">
              <w:rPr>
                <w:rFonts w:asciiTheme="minorHAnsi" w:hAnsiTheme="minorHAnsi" w:cs="Times New Roman"/>
                <w:bCs/>
                <w:spacing w:val="-1"/>
                <w:sz w:val="22"/>
                <w:szCs w:val="22"/>
              </w:rPr>
              <w:t>-</w:t>
            </w:r>
            <w:r w:rsidRPr="000E2355">
              <w:rPr>
                <w:rFonts w:asciiTheme="minorHAnsi" w:hAnsiTheme="minorHAnsi" w:cs="Times New Roman"/>
                <w:bCs/>
                <w:sz w:val="22"/>
                <w:szCs w:val="22"/>
              </w:rPr>
              <w:t>Ca</w:t>
            </w:r>
            <w:r w:rsidRPr="000E2355">
              <w:rPr>
                <w:rFonts w:asciiTheme="minorHAnsi" w:hAnsiTheme="minorHAnsi" w:cs="Times New Roman"/>
                <w:bCs/>
                <w:spacing w:val="-2"/>
                <w:sz w:val="22"/>
                <w:szCs w:val="22"/>
              </w:rPr>
              <w:t>r</w:t>
            </w:r>
            <w:r w:rsidRPr="000E2355">
              <w:rPr>
                <w:rFonts w:asciiTheme="minorHAnsi" w:hAnsiTheme="minorHAnsi" w:cs="Times New Roman"/>
                <w:bCs/>
                <w:sz w:val="22"/>
                <w:szCs w:val="22"/>
              </w:rPr>
              <w:t>e</w:t>
            </w:r>
            <w:r w:rsidRPr="000E2355">
              <w:rPr>
                <w:rFonts w:asciiTheme="minorHAnsi" w:hAnsiTheme="minorHAnsi" w:cs="Times New Roman"/>
                <w:bCs/>
                <w:spacing w:val="1"/>
                <w:sz w:val="22"/>
                <w:szCs w:val="22"/>
              </w:rPr>
              <w:t xml:space="preserve"> </w:t>
            </w:r>
            <w:r w:rsidRPr="000E2355">
              <w:rPr>
                <w:rFonts w:asciiTheme="minorHAnsi" w:hAnsiTheme="minorHAnsi" w:cs="Times New Roman"/>
                <w:bCs/>
                <w:sz w:val="22"/>
                <w:szCs w:val="22"/>
              </w:rPr>
              <w:t>Cent</w:t>
            </w:r>
            <w:r w:rsidRPr="000E2355">
              <w:rPr>
                <w:rFonts w:asciiTheme="minorHAnsi" w:hAnsiTheme="minorHAnsi" w:cs="Times New Roman"/>
                <w:bCs/>
                <w:spacing w:val="-2"/>
                <w:sz w:val="22"/>
                <w:szCs w:val="22"/>
              </w:rPr>
              <w:t>e</w:t>
            </w:r>
            <w:r w:rsidRPr="000E2355">
              <w:rPr>
                <w:rFonts w:asciiTheme="minorHAnsi" w:hAnsiTheme="minorHAnsi" w:cs="Times New Roman"/>
                <w:bCs/>
                <w:spacing w:val="-1"/>
                <w:sz w:val="22"/>
                <w:szCs w:val="22"/>
              </w:rPr>
              <w:t>r</w:t>
            </w:r>
            <w:r w:rsidRPr="000E2355">
              <w:rPr>
                <w:rFonts w:asciiTheme="minorHAnsi" w:hAnsiTheme="minorHAnsi" w:cs="Times New Roman"/>
                <w:bCs/>
                <w:sz w:val="22"/>
                <w:szCs w:val="22"/>
              </w:rPr>
              <w:t xml:space="preserve"> </w:t>
            </w:r>
          </w:p>
          <w:p w14:paraId="7C43D93D" w14:textId="77777777" w:rsidR="001062B6" w:rsidRDefault="001062B6" w:rsidP="00CC534F">
            <w:pPr>
              <w:pStyle w:val="BodyText"/>
              <w:numPr>
                <w:ilvl w:val="0"/>
                <w:numId w:val="8"/>
              </w:numPr>
              <w:spacing w:before="6"/>
              <w:ind w:right="128"/>
              <w:rPr>
                <w:rFonts w:asciiTheme="minorHAnsi" w:hAnsiTheme="minorHAnsi"/>
                <w:sz w:val="22"/>
                <w:szCs w:val="22"/>
              </w:rPr>
            </w:pPr>
            <w:r w:rsidRPr="000E2355">
              <w:rPr>
                <w:rFonts w:asciiTheme="minorHAnsi" w:hAnsiTheme="minorHAnsi"/>
                <w:sz w:val="22"/>
                <w:szCs w:val="22"/>
              </w:rPr>
              <w:t>Med</w:t>
            </w:r>
            <w:r>
              <w:rPr>
                <w:rFonts w:asciiTheme="minorHAnsi" w:hAnsiTheme="minorHAnsi"/>
                <w:sz w:val="22"/>
                <w:szCs w:val="22"/>
              </w:rPr>
              <w:t>S</w:t>
            </w:r>
            <w:r w:rsidRPr="000E2355">
              <w:rPr>
                <w:rFonts w:asciiTheme="minorHAnsi" w:hAnsiTheme="minorHAnsi"/>
                <w:sz w:val="22"/>
                <w:szCs w:val="22"/>
              </w:rPr>
              <w:t>tar</w:t>
            </w:r>
          </w:p>
          <w:p w14:paraId="4309033D" w14:textId="77777777" w:rsidR="000F231F" w:rsidRDefault="000F231F" w:rsidP="00CC534F">
            <w:pPr>
              <w:pStyle w:val="BodyText"/>
              <w:numPr>
                <w:ilvl w:val="0"/>
                <w:numId w:val="8"/>
              </w:numPr>
              <w:spacing w:before="6"/>
              <w:ind w:right="128"/>
              <w:rPr>
                <w:rFonts w:asciiTheme="minorHAnsi" w:hAnsiTheme="minorHAnsi"/>
                <w:sz w:val="22"/>
                <w:szCs w:val="22"/>
              </w:rPr>
            </w:pPr>
            <w:r>
              <w:rPr>
                <w:rFonts w:asciiTheme="minorHAnsi" w:hAnsiTheme="minorHAnsi"/>
                <w:sz w:val="22"/>
                <w:szCs w:val="22"/>
              </w:rPr>
              <w:t>Notre Dame School of Pharmacy</w:t>
            </w:r>
          </w:p>
          <w:p w14:paraId="1A54F3BC" w14:textId="77777777" w:rsidR="000F231F" w:rsidRDefault="000F231F" w:rsidP="00CC534F">
            <w:pPr>
              <w:pStyle w:val="BodyText"/>
              <w:numPr>
                <w:ilvl w:val="0"/>
                <w:numId w:val="8"/>
              </w:numPr>
              <w:spacing w:before="6"/>
              <w:ind w:right="128"/>
              <w:rPr>
                <w:rFonts w:asciiTheme="minorHAnsi" w:hAnsiTheme="minorHAnsi"/>
                <w:sz w:val="22"/>
                <w:szCs w:val="22"/>
              </w:rPr>
            </w:pPr>
            <w:r>
              <w:rPr>
                <w:rFonts w:asciiTheme="minorHAnsi" w:hAnsiTheme="minorHAnsi"/>
                <w:sz w:val="22"/>
                <w:szCs w:val="22"/>
              </w:rPr>
              <w:t>Lorien at Home</w:t>
            </w:r>
          </w:p>
          <w:p w14:paraId="21DD864E" w14:textId="75A395AD" w:rsidR="000F231F" w:rsidRPr="00CC534F" w:rsidRDefault="000F231F" w:rsidP="00CC534F">
            <w:pPr>
              <w:pStyle w:val="BodyText"/>
              <w:numPr>
                <w:ilvl w:val="0"/>
                <w:numId w:val="8"/>
              </w:numPr>
              <w:spacing w:before="6"/>
              <w:ind w:right="128"/>
              <w:rPr>
                <w:rFonts w:asciiTheme="minorHAnsi" w:hAnsiTheme="minorHAnsi"/>
                <w:sz w:val="22"/>
                <w:szCs w:val="22"/>
              </w:rPr>
            </w:pPr>
            <w:r>
              <w:rPr>
                <w:rFonts w:asciiTheme="minorHAnsi" w:hAnsiTheme="minorHAnsi"/>
                <w:sz w:val="22"/>
                <w:szCs w:val="22"/>
              </w:rPr>
              <w:t>Diamond Lab Services</w:t>
            </w:r>
          </w:p>
        </w:tc>
      </w:tr>
      <w:tr w:rsidR="001062B6" w14:paraId="003B08E8" w14:textId="77777777" w:rsidTr="000D0468">
        <w:trPr>
          <w:trHeight w:val="245"/>
        </w:trPr>
        <w:tc>
          <w:tcPr>
            <w:tcW w:w="3600" w:type="dxa"/>
            <w:vMerge w:val="restart"/>
          </w:tcPr>
          <w:p w14:paraId="337B71D9" w14:textId="77777777" w:rsidR="001062B6" w:rsidRPr="00F43692" w:rsidRDefault="001062B6" w:rsidP="000D0468">
            <w:pPr>
              <w:rPr>
                <w:b/>
              </w:rPr>
            </w:pPr>
            <w:r w:rsidRPr="00F43692">
              <w:rPr>
                <w:b/>
              </w:rPr>
              <w:t>Patients Served</w:t>
            </w:r>
          </w:p>
          <w:p w14:paraId="21CB7185" w14:textId="77777777" w:rsidR="001062B6" w:rsidRDefault="001062B6" w:rsidP="000D0468">
            <w:pPr>
              <w:rPr>
                <w:i/>
                <w:sz w:val="20"/>
                <w:szCs w:val="20"/>
              </w:rPr>
            </w:pPr>
            <w:r w:rsidRPr="000075DB">
              <w:rPr>
                <w:i/>
                <w:sz w:val="20"/>
                <w:szCs w:val="20"/>
              </w:rPr>
              <w:t>Please estimate using the Population category that best applies to the Intervention, from the</w:t>
            </w:r>
            <w:r>
              <w:rPr>
                <w:i/>
                <w:sz w:val="20"/>
                <w:szCs w:val="20"/>
              </w:rPr>
              <w:t xml:space="preserve"> CY 2017 </w:t>
            </w:r>
            <w:r w:rsidRPr="000075DB">
              <w:rPr>
                <w:i/>
                <w:sz w:val="20"/>
                <w:szCs w:val="20"/>
              </w:rPr>
              <w:t xml:space="preserve">RP Analytic Files. </w:t>
            </w:r>
          </w:p>
          <w:p w14:paraId="14CEAD12" w14:textId="77777777" w:rsidR="001062B6" w:rsidRDefault="001062B6" w:rsidP="000D0468">
            <w:pPr>
              <w:rPr>
                <w:i/>
                <w:sz w:val="20"/>
                <w:szCs w:val="20"/>
              </w:rPr>
            </w:pPr>
            <w:r>
              <w:rPr>
                <w:i/>
                <w:sz w:val="20"/>
                <w:szCs w:val="20"/>
              </w:rPr>
              <w:t>HSCRC</w:t>
            </w:r>
            <w:r w:rsidRPr="000075DB">
              <w:rPr>
                <w:i/>
                <w:sz w:val="20"/>
                <w:szCs w:val="20"/>
              </w:rPr>
              <w:t xml:space="preserve"> acknowledge</w:t>
            </w:r>
            <w:r>
              <w:rPr>
                <w:i/>
                <w:sz w:val="20"/>
                <w:szCs w:val="20"/>
              </w:rPr>
              <w:t>s</w:t>
            </w:r>
            <w:r w:rsidRPr="000075DB">
              <w:rPr>
                <w:i/>
                <w:sz w:val="20"/>
                <w:szCs w:val="20"/>
              </w:rPr>
              <w:t xml:space="preserve"> that the High Utilizer/Rising Risk or Payer designations may over-state the population</w:t>
            </w:r>
            <w:r>
              <w:rPr>
                <w:i/>
                <w:sz w:val="20"/>
                <w:szCs w:val="20"/>
              </w:rPr>
              <w:t>,</w:t>
            </w:r>
            <w:r w:rsidRPr="000075DB">
              <w:rPr>
                <w:i/>
                <w:sz w:val="20"/>
                <w:szCs w:val="20"/>
              </w:rPr>
              <w:t xml:space="preserve"> or may not entirely represent this intervention’s targeted population.</w:t>
            </w:r>
          </w:p>
          <w:p w14:paraId="57D25664" w14:textId="77777777" w:rsidR="001062B6" w:rsidRPr="000075DB" w:rsidRDefault="001062B6" w:rsidP="000D0468">
            <w:pPr>
              <w:rPr>
                <w:sz w:val="20"/>
                <w:szCs w:val="20"/>
              </w:rPr>
            </w:pPr>
            <w:r w:rsidRPr="000075DB">
              <w:rPr>
                <w:i/>
                <w:sz w:val="20"/>
                <w:szCs w:val="20"/>
              </w:rPr>
              <w:t xml:space="preserve">Feel free to </w:t>
            </w:r>
            <w:r w:rsidRPr="000075DB">
              <w:rPr>
                <w:b/>
                <w:i/>
                <w:sz w:val="20"/>
                <w:szCs w:val="20"/>
              </w:rPr>
              <w:t>also</w:t>
            </w:r>
            <w:r w:rsidRPr="000075DB">
              <w:rPr>
                <w:i/>
                <w:sz w:val="20"/>
                <w:szCs w:val="20"/>
              </w:rPr>
              <w:t xml:space="preserve"> include your partnership’s denominator.</w:t>
            </w:r>
          </w:p>
        </w:tc>
        <w:tc>
          <w:tcPr>
            <w:tcW w:w="5755" w:type="dxa"/>
          </w:tcPr>
          <w:p w14:paraId="5BE58E4D" w14:textId="77777777" w:rsidR="001062B6" w:rsidRDefault="001062B6" w:rsidP="000D0468">
            <w:r>
              <w:t># of Patients Served a</w:t>
            </w:r>
            <w:r w:rsidRPr="002E25DB">
              <w:t>s of June 30, 2018</w:t>
            </w:r>
            <w:r>
              <w:t>:</w:t>
            </w:r>
            <w:r>
              <w:br/>
            </w:r>
          </w:p>
          <w:p w14:paraId="3B4925C7" w14:textId="3578BBF2" w:rsidR="000F231F" w:rsidRDefault="000F231F" w:rsidP="000D0468">
            <w:r>
              <w:t>300 patients</w:t>
            </w:r>
          </w:p>
        </w:tc>
      </w:tr>
      <w:tr w:rsidR="001062B6" w14:paraId="33D229A4" w14:textId="77777777" w:rsidTr="000D0468">
        <w:trPr>
          <w:trHeight w:val="244"/>
        </w:trPr>
        <w:tc>
          <w:tcPr>
            <w:tcW w:w="3600" w:type="dxa"/>
            <w:vMerge/>
          </w:tcPr>
          <w:p w14:paraId="73D155F0" w14:textId="77777777" w:rsidR="001062B6" w:rsidRDefault="001062B6" w:rsidP="000D0468"/>
        </w:tc>
        <w:tc>
          <w:tcPr>
            <w:tcW w:w="5755" w:type="dxa"/>
          </w:tcPr>
          <w:p w14:paraId="40DAD818" w14:textId="77777777" w:rsidR="001062B6" w:rsidRDefault="001062B6" w:rsidP="000D0468">
            <w:r>
              <w:t>Denominator of Eligible Patients:</w:t>
            </w:r>
            <w:r>
              <w:br/>
            </w:r>
          </w:p>
          <w:p w14:paraId="71D49F73" w14:textId="77777777" w:rsidR="00D945DA" w:rsidRDefault="00D945DA" w:rsidP="00D945DA">
            <w:r>
              <w:t xml:space="preserve">Nearly 12,000 Medicare beneficiaries, using the Medicare Shared Savings Program assigned beneficiary count as an estimate of patients served. </w:t>
            </w:r>
          </w:p>
          <w:p w14:paraId="26A0D4FB" w14:textId="77777777" w:rsidR="001062B6" w:rsidRDefault="001062B6" w:rsidP="000D0468"/>
          <w:p w14:paraId="031766DF" w14:textId="77777777" w:rsidR="001062B6" w:rsidRDefault="001062B6" w:rsidP="000D0468"/>
        </w:tc>
      </w:tr>
      <w:tr w:rsidR="001062B6" w14:paraId="4781F03C" w14:textId="77777777" w:rsidTr="000D0468">
        <w:trPr>
          <w:trHeight w:val="244"/>
        </w:trPr>
        <w:tc>
          <w:tcPr>
            <w:tcW w:w="3600" w:type="dxa"/>
          </w:tcPr>
          <w:p w14:paraId="20944E00" w14:textId="77777777" w:rsidR="001062B6" w:rsidRDefault="001062B6" w:rsidP="000D0468">
            <w:r w:rsidRPr="00F43692">
              <w:rPr>
                <w:b/>
              </w:rPr>
              <w:t>Pre-Post Analysis for Intervention</w:t>
            </w:r>
            <w:r>
              <w:t xml:space="preserve"> (optional)</w:t>
            </w:r>
          </w:p>
          <w:p w14:paraId="7481232C" w14:textId="77777777" w:rsidR="001062B6" w:rsidRPr="00F75178" w:rsidRDefault="001062B6" w:rsidP="000D0468">
            <w:pPr>
              <w:rPr>
                <w:i/>
              </w:rPr>
            </w:pPr>
            <w:r>
              <w:rPr>
                <w:i/>
                <w:sz w:val="20"/>
              </w:rPr>
              <w:t>If available, RPs may</w:t>
            </w:r>
            <w:r w:rsidRPr="000075DB">
              <w:rPr>
                <w:i/>
                <w:sz w:val="20"/>
              </w:rPr>
              <w:t xml:space="preserve"> submit a screenshot or other file format of the </w:t>
            </w:r>
            <w:r>
              <w:rPr>
                <w:i/>
                <w:sz w:val="20"/>
              </w:rPr>
              <w:t xml:space="preserve">Intervention’s </w:t>
            </w:r>
            <w:r w:rsidRPr="000075DB">
              <w:rPr>
                <w:i/>
                <w:sz w:val="20"/>
              </w:rPr>
              <w:t xml:space="preserve">Pre-Post Analysis. </w:t>
            </w:r>
          </w:p>
        </w:tc>
        <w:tc>
          <w:tcPr>
            <w:tcW w:w="5755" w:type="dxa"/>
          </w:tcPr>
          <w:p w14:paraId="192F52A3" w14:textId="4F734F93" w:rsidR="001062B6" w:rsidRDefault="00FF2893" w:rsidP="000D0468">
            <w:r>
              <w:t>See Appendix B</w:t>
            </w:r>
            <w:r w:rsidR="000F231F">
              <w:t xml:space="preserve">. </w:t>
            </w:r>
          </w:p>
        </w:tc>
      </w:tr>
      <w:tr w:rsidR="001062B6" w14:paraId="442A2EE8" w14:textId="77777777" w:rsidTr="000D0468">
        <w:trPr>
          <w:trHeight w:val="244"/>
        </w:trPr>
        <w:tc>
          <w:tcPr>
            <w:tcW w:w="3600" w:type="dxa"/>
          </w:tcPr>
          <w:p w14:paraId="5EEA1067" w14:textId="77777777" w:rsidR="001062B6" w:rsidRPr="00F43692" w:rsidRDefault="001062B6" w:rsidP="000D0468">
            <w:pPr>
              <w:rPr>
                <w:b/>
              </w:rPr>
            </w:pPr>
            <w:r w:rsidRPr="00F43692">
              <w:rPr>
                <w:b/>
              </w:rPr>
              <w:t>Intervention-Specific Outcome or Process Measures</w:t>
            </w:r>
          </w:p>
          <w:p w14:paraId="54841AC1" w14:textId="77777777" w:rsidR="001062B6" w:rsidRDefault="001062B6" w:rsidP="000D0468">
            <w:r>
              <w:t>(optional)</w:t>
            </w:r>
          </w:p>
          <w:p w14:paraId="6B03480F" w14:textId="77777777" w:rsidR="001062B6" w:rsidRDefault="001062B6" w:rsidP="000D0468">
            <w:pPr>
              <w:rPr>
                <w:i/>
                <w:sz w:val="20"/>
              </w:rPr>
            </w:pPr>
            <w:r w:rsidRPr="000075DB">
              <w:rPr>
                <w:i/>
                <w:sz w:val="20"/>
              </w:rPr>
              <w:t>These are measures</w:t>
            </w:r>
            <w:r>
              <w:rPr>
                <w:i/>
                <w:sz w:val="20"/>
              </w:rPr>
              <w:t xml:space="preserve"> that may not have generic definitions across Partnerships or Interventions and </w:t>
            </w:r>
            <w:r w:rsidRPr="000075DB">
              <w:rPr>
                <w:i/>
                <w:sz w:val="20"/>
              </w:rPr>
              <w:t xml:space="preserve">that your </w:t>
            </w:r>
            <w:r>
              <w:rPr>
                <w:i/>
                <w:sz w:val="20"/>
              </w:rPr>
              <w:t>P</w:t>
            </w:r>
            <w:r w:rsidRPr="000075DB">
              <w:rPr>
                <w:i/>
                <w:sz w:val="20"/>
              </w:rPr>
              <w:t xml:space="preserve">artnership maintains and uses to analyze performance. </w:t>
            </w:r>
          </w:p>
          <w:p w14:paraId="77F06181" w14:textId="77777777" w:rsidR="001062B6" w:rsidRPr="000075DB" w:rsidRDefault="001062B6" w:rsidP="000D0468">
            <w:pPr>
              <w:rPr>
                <w:i/>
              </w:rPr>
            </w:pPr>
            <w:r w:rsidRPr="000075DB">
              <w:rPr>
                <w:i/>
                <w:sz w:val="20"/>
              </w:rPr>
              <w:t xml:space="preserve">Examples may include: Patient satisfaction; % of referred patients who received </w:t>
            </w:r>
            <w:r>
              <w:rPr>
                <w:i/>
                <w:sz w:val="20"/>
              </w:rPr>
              <w:t>I</w:t>
            </w:r>
            <w:r w:rsidRPr="000075DB">
              <w:rPr>
                <w:i/>
                <w:sz w:val="20"/>
              </w:rPr>
              <w:t>ntervention; operationalized care teams; etc.</w:t>
            </w:r>
          </w:p>
        </w:tc>
        <w:tc>
          <w:tcPr>
            <w:tcW w:w="5755" w:type="dxa"/>
          </w:tcPr>
          <w:p w14:paraId="5BD98E05" w14:textId="77777777" w:rsidR="001062B6" w:rsidRDefault="001062B6" w:rsidP="000D0468"/>
        </w:tc>
      </w:tr>
      <w:tr w:rsidR="001062B6" w14:paraId="06A9652B" w14:textId="77777777" w:rsidTr="000D0468">
        <w:trPr>
          <w:trHeight w:val="244"/>
        </w:trPr>
        <w:tc>
          <w:tcPr>
            <w:tcW w:w="3600" w:type="dxa"/>
          </w:tcPr>
          <w:p w14:paraId="21565300" w14:textId="77777777" w:rsidR="001062B6" w:rsidRDefault="001062B6" w:rsidP="000D0468">
            <w:r>
              <w:rPr>
                <w:b/>
              </w:rPr>
              <w:t>Successes of the Intervention in FY 2018</w:t>
            </w:r>
          </w:p>
          <w:p w14:paraId="07BADCE1" w14:textId="77777777" w:rsidR="001062B6" w:rsidRPr="00F43692" w:rsidRDefault="001062B6" w:rsidP="000D0468">
            <w:pPr>
              <w:rPr>
                <w:i/>
              </w:rPr>
            </w:pPr>
            <w:r w:rsidRPr="00F43692">
              <w:rPr>
                <w:i/>
                <w:sz w:val="20"/>
              </w:rPr>
              <w:t>Free Response, up to 1 Paragraph</w:t>
            </w:r>
          </w:p>
        </w:tc>
        <w:tc>
          <w:tcPr>
            <w:tcW w:w="5755" w:type="dxa"/>
          </w:tcPr>
          <w:p w14:paraId="26B847DB" w14:textId="4B9B3150" w:rsidR="001062B6" w:rsidRDefault="000F231F" w:rsidP="000D0468">
            <w:r w:rsidRPr="000F231F">
              <w:t xml:space="preserve">The Elder Medical Care Home Services program continued to experience growth with an overall rate of 25% in our average daily census during FY 2018.  The program also continued to expand the ancillary services available to our patients who worked collaboratively the primary care providers.  These </w:t>
            </w:r>
            <w:r w:rsidRPr="000F231F">
              <w:lastRenderedPageBreak/>
              <w:t>additional services include: lab services, behavioral health professionals, Community Service Coordinators and interventions by pharmacists on a case by case basis which enabled the team to provide even more clinical interventions in the home setting.</w:t>
            </w:r>
          </w:p>
        </w:tc>
      </w:tr>
      <w:tr w:rsidR="000F231F" w14:paraId="5A8F8340" w14:textId="77777777" w:rsidTr="000D0468">
        <w:trPr>
          <w:trHeight w:val="244"/>
        </w:trPr>
        <w:tc>
          <w:tcPr>
            <w:tcW w:w="3600" w:type="dxa"/>
          </w:tcPr>
          <w:p w14:paraId="2B9AD679" w14:textId="77777777" w:rsidR="000F231F" w:rsidRDefault="000F231F" w:rsidP="000F231F">
            <w:r>
              <w:rPr>
                <w:b/>
              </w:rPr>
              <w:lastRenderedPageBreak/>
              <w:t>Lessons Learned from the Intervention in FY 2018</w:t>
            </w:r>
          </w:p>
          <w:p w14:paraId="6E22AE1B" w14:textId="77777777" w:rsidR="000F231F" w:rsidRDefault="000F231F" w:rsidP="000F231F">
            <w:pPr>
              <w:rPr>
                <w:b/>
              </w:rPr>
            </w:pPr>
            <w:r w:rsidRPr="00F43692">
              <w:rPr>
                <w:i/>
                <w:sz w:val="20"/>
              </w:rPr>
              <w:t>Free Response, up to 1 Paragraph</w:t>
            </w:r>
          </w:p>
        </w:tc>
        <w:tc>
          <w:tcPr>
            <w:tcW w:w="5755" w:type="dxa"/>
          </w:tcPr>
          <w:p w14:paraId="437E2CF5" w14:textId="1A78CA32" w:rsidR="000F231F" w:rsidRDefault="000F231F" w:rsidP="000F231F">
            <w:pPr>
              <w:ind w:left="64"/>
            </w:pPr>
            <w:r w:rsidRPr="000F231F">
              <w:t xml:space="preserve">One of the ongoing lessons during FY 2018 continues to be highlighting the </w:t>
            </w:r>
            <w:r>
              <w:t>partnership needed from the primary care p</w:t>
            </w:r>
            <w:r w:rsidRPr="000F231F">
              <w:t>roviders in the community to assist with transition or co</w:t>
            </w:r>
            <w:r>
              <w:t>- management of their patients. The existing primary care p</w:t>
            </w:r>
            <w:r w:rsidRPr="000F231F">
              <w:t>roviders are pivotal in initiating referrals and working with the patients/families to establish rapport with the Elder Me</w:t>
            </w:r>
            <w:r>
              <w:t>dical Care Home Services team. </w:t>
            </w:r>
            <w:r w:rsidRPr="000F231F">
              <w:t>This could also enable referrals to the program to be made earlier in the progression of the disease state as the patients and their caregivers are initially experiencing issues with getting in to see their</w:t>
            </w:r>
            <w:r>
              <w:t xml:space="preserve"> primary care providers versus o</w:t>
            </w:r>
            <w:r w:rsidRPr="000F231F">
              <w:t>nce they have been homebound for a</w:t>
            </w:r>
            <w:r>
              <w:t xml:space="preserve"> significant period of time. </w:t>
            </w:r>
            <w:r w:rsidRPr="000F231F">
              <w:t>   </w:t>
            </w:r>
          </w:p>
        </w:tc>
      </w:tr>
      <w:tr w:rsidR="000F231F" w14:paraId="47C583CF" w14:textId="77777777" w:rsidTr="000D0468">
        <w:trPr>
          <w:trHeight w:val="244"/>
        </w:trPr>
        <w:tc>
          <w:tcPr>
            <w:tcW w:w="3600" w:type="dxa"/>
          </w:tcPr>
          <w:p w14:paraId="4EAB1CB2" w14:textId="77777777" w:rsidR="000F231F" w:rsidRDefault="000F231F" w:rsidP="000F231F">
            <w:r>
              <w:rPr>
                <w:b/>
              </w:rPr>
              <w:t>Next Steps for the Intervention in FY 2019</w:t>
            </w:r>
          </w:p>
          <w:p w14:paraId="1578A877" w14:textId="77777777" w:rsidR="000F231F" w:rsidRDefault="000F231F" w:rsidP="000F231F">
            <w:pPr>
              <w:rPr>
                <w:b/>
              </w:rPr>
            </w:pPr>
            <w:r w:rsidRPr="00F43692">
              <w:rPr>
                <w:i/>
                <w:sz w:val="20"/>
              </w:rPr>
              <w:t>Free Response, up to 1 Paragraph</w:t>
            </w:r>
          </w:p>
        </w:tc>
        <w:tc>
          <w:tcPr>
            <w:tcW w:w="5755" w:type="dxa"/>
          </w:tcPr>
          <w:p w14:paraId="50E3A1DD" w14:textId="756DA633" w:rsidR="000F231F" w:rsidRDefault="000F231F" w:rsidP="000F231F">
            <w:r>
              <w:t>In FY 2019, t</w:t>
            </w:r>
            <w:r w:rsidRPr="000F231F">
              <w:t>he Elder Medical Care Home Services program will continue to work on refinement of the referral process, exploring ways of applying our program to meet the needs and requests of our partners and the communities they live in along with expanding clinical capabilities.  </w:t>
            </w:r>
          </w:p>
        </w:tc>
      </w:tr>
      <w:tr w:rsidR="000F231F" w14:paraId="1056ED0C" w14:textId="77777777" w:rsidTr="000D0468">
        <w:trPr>
          <w:trHeight w:val="649"/>
        </w:trPr>
        <w:tc>
          <w:tcPr>
            <w:tcW w:w="3600" w:type="dxa"/>
          </w:tcPr>
          <w:p w14:paraId="7F5E84F2" w14:textId="77777777" w:rsidR="000F231F" w:rsidRPr="00FB3E79" w:rsidRDefault="000F231F" w:rsidP="000F231F">
            <w:r>
              <w:rPr>
                <w:b/>
              </w:rPr>
              <w:t>Additional Free Response</w:t>
            </w:r>
            <w:r>
              <w:t xml:space="preserve"> (Optional)</w:t>
            </w:r>
          </w:p>
        </w:tc>
        <w:tc>
          <w:tcPr>
            <w:tcW w:w="5755" w:type="dxa"/>
          </w:tcPr>
          <w:p w14:paraId="681F3591" w14:textId="77777777" w:rsidR="000F231F" w:rsidRDefault="000F231F" w:rsidP="000F231F"/>
        </w:tc>
      </w:tr>
    </w:tbl>
    <w:p w14:paraId="3040E8A6" w14:textId="35A1F3E4" w:rsidR="001062B6" w:rsidRDefault="001062B6" w:rsidP="00F43692"/>
    <w:tbl>
      <w:tblPr>
        <w:tblStyle w:val="TableGridLight"/>
        <w:tblW w:w="9355" w:type="dxa"/>
        <w:tblCellMar>
          <w:top w:w="115" w:type="dxa"/>
          <w:left w:w="115" w:type="dxa"/>
          <w:bottom w:w="115" w:type="dxa"/>
          <w:right w:w="115" w:type="dxa"/>
        </w:tblCellMar>
        <w:tblLook w:val="04A0" w:firstRow="1" w:lastRow="0" w:firstColumn="1" w:lastColumn="0" w:noHBand="0" w:noVBand="1"/>
      </w:tblPr>
      <w:tblGrid>
        <w:gridCol w:w="3600"/>
        <w:gridCol w:w="5755"/>
      </w:tblGrid>
      <w:tr w:rsidR="001062B6" w14:paraId="092F4E68" w14:textId="77777777" w:rsidTr="000D0468">
        <w:tc>
          <w:tcPr>
            <w:tcW w:w="3600" w:type="dxa"/>
          </w:tcPr>
          <w:p w14:paraId="22BC4FDD" w14:textId="77777777" w:rsidR="001062B6" w:rsidRPr="00F43692" w:rsidRDefault="001062B6" w:rsidP="000D0468">
            <w:pPr>
              <w:rPr>
                <w:b/>
              </w:rPr>
            </w:pPr>
            <w:r w:rsidRPr="00F43692">
              <w:rPr>
                <w:b/>
              </w:rPr>
              <w:t>Intervention or Program Name</w:t>
            </w:r>
          </w:p>
        </w:tc>
        <w:tc>
          <w:tcPr>
            <w:tcW w:w="5755" w:type="dxa"/>
          </w:tcPr>
          <w:p w14:paraId="2D50A0A3" w14:textId="571B4376" w:rsidR="001062B6" w:rsidRDefault="001062B6" w:rsidP="001062B6">
            <w:r>
              <w:t>Expansion and Management of Chronic Conditions Through Care Coordination</w:t>
            </w:r>
          </w:p>
        </w:tc>
      </w:tr>
      <w:tr w:rsidR="001062B6" w14:paraId="66894ACD" w14:textId="77777777" w:rsidTr="000D0468">
        <w:tc>
          <w:tcPr>
            <w:tcW w:w="3600" w:type="dxa"/>
          </w:tcPr>
          <w:p w14:paraId="76DFA04E" w14:textId="77777777" w:rsidR="001062B6" w:rsidRPr="00F43692" w:rsidRDefault="001062B6" w:rsidP="000D0468">
            <w:pPr>
              <w:rPr>
                <w:b/>
              </w:rPr>
            </w:pPr>
            <w:r w:rsidRPr="00F43692">
              <w:rPr>
                <w:b/>
              </w:rPr>
              <w:t>RP Hospitals Participating in Intervention</w:t>
            </w:r>
          </w:p>
          <w:p w14:paraId="7C15B6D6" w14:textId="77777777" w:rsidR="001062B6" w:rsidRPr="009C7A37" w:rsidRDefault="001062B6" w:rsidP="000D0468">
            <w:pPr>
              <w:rPr>
                <w:i/>
              </w:rPr>
            </w:pPr>
            <w:r w:rsidRPr="000075DB">
              <w:rPr>
                <w:i/>
                <w:sz w:val="20"/>
              </w:rPr>
              <w:t>Please indicate if All; otherwise, please indicate which of the RP Hospitals are participating</w:t>
            </w:r>
            <w:r>
              <w:rPr>
                <w:i/>
                <w:sz w:val="20"/>
              </w:rPr>
              <w:t>.</w:t>
            </w:r>
          </w:p>
        </w:tc>
        <w:tc>
          <w:tcPr>
            <w:tcW w:w="5755" w:type="dxa"/>
          </w:tcPr>
          <w:p w14:paraId="68141C29" w14:textId="5382A05E" w:rsidR="001062B6" w:rsidRDefault="00CC534F" w:rsidP="000D0468">
            <w:r>
              <w:t>Greater Baltimore Medical Center</w:t>
            </w:r>
          </w:p>
        </w:tc>
      </w:tr>
      <w:tr w:rsidR="001062B6" w14:paraId="70E9E81C" w14:textId="77777777" w:rsidTr="000D0468">
        <w:tc>
          <w:tcPr>
            <w:tcW w:w="3600" w:type="dxa"/>
          </w:tcPr>
          <w:p w14:paraId="3C07889E" w14:textId="77777777" w:rsidR="001062B6" w:rsidRPr="00F43692" w:rsidRDefault="001062B6" w:rsidP="000D0468">
            <w:pPr>
              <w:rPr>
                <w:b/>
              </w:rPr>
            </w:pPr>
            <w:r w:rsidRPr="00F43692">
              <w:rPr>
                <w:b/>
              </w:rPr>
              <w:t>Brief description of the Intervention</w:t>
            </w:r>
          </w:p>
          <w:p w14:paraId="0810EFB1" w14:textId="77777777" w:rsidR="001062B6" w:rsidRPr="005733DE" w:rsidRDefault="001062B6" w:rsidP="000D0468">
            <w:pPr>
              <w:rPr>
                <w:i/>
              </w:rPr>
            </w:pPr>
            <w:r w:rsidRPr="005733DE">
              <w:rPr>
                <w:i/>
              </w:rPr>
              <w:t>2-3 sentences</w:t>
            </w:r>
          </w:p>
        </w:tc>
        <w:tc>
          <w:tcPr>
            <w:tcW w:w="5755" w:type="dxa"/>
          </w:tcPr>
          <w:p w14:paraId="0CC8080F" w14:textId="241206E3" w:rsidR="001062B6" w:rsidRDefault="00CC534F" w:rsidP="008E1997">
            <w:r>
              <w:t xml:space="preserve">GBMC is working to </w:t>
            </w:r>
            <w:r w:rsidRPr="005E49E4">
              <w:t xml:space="preserve">expand its hospital-based care management </w:t>
            </w:r>
            <w:r>
              <w:t xml:space="preserve">function to focus on </w:t>
            </w:r>
            <w:r w:rsidR="00980F67">
              <w:t>high-</w:t>
            </w:r>
            <w:r w:rsidRPr="005E49E4">
              <w:t>uti</w:t>
            </w:r>
            <w:r w:rsidR="00980F67">
              <w:t>lizer patients</w:t>
            </w:r>
            <w:r w:rsidRPr="005E49E4">
              <w:t>.</w:t>
            </w:r>
            <w:r w:rsidR="008E1997">
              <w:t xml:space="preserve"> Additionally, care management/coordination support is fully integrated in all 10 of the employed primary care practices.  Through the addition of an inpatient case m</w:t>
            </w:r>
            <w:r w:rsidRPr="005E49E4">
              <w:t xml:space="preserve">anager </w:t>
            </w:r>
            <w:r w:rsidR="008E1997">
              <w:t xml:space="preserve">for </w:t>
            </w:r>
            <w:r w:rsidR="00980F67">
              <w:t>high-</w:t>
            </w:r>
            <w:r>
              <w:t>utilizers</w:t>
            </w:r>
            <w:r w:rsidR="00980F67">
              <w:t>,</w:t>
            </w:r>
            <w:r>
              <w:t xml:space="preserve"> as well as additional care coordination staff in each </w:t>
            </w:r>
            <w:r w:rsidR="00980F67">
              <w:t xml:space="preserve">primary care </w:t>
            </w:r>
            <w:r>
              <w:t>practice</w:t>
            </w:r>
            <w:r w:rsidRPr="005E49E4">
              <w:t>, the team will</w:t>
            </w:r>
            <w:r w:rsidR="00980F67">
              <w:t xml:space="preserve"> </w:t>
            </w:r>
            <w:r w:rsidRPr="005E49E4">
              <w:t xml:space="preserve">work </w:t>
            </w:r>
            <w:r w:rsidR="00980F67">
              <w:t xml:space="preserve">(or is working) </w:t>
            </w:r>
            <w:r w:rsidRPr="005E49E4">
              <w:t>with patients proactively to meet their individual needs</w:t>
            </w:r>
            <w:r w:rsidR="00980F67">
              <w:t xml:space="preserve">, in an </w:t>
            </w:r>
            <w:r w:rsidR="00980F67">
              <w:lastRenderedPageBreak/>
              <w:t>effort to avoid u</w:t>
            </w:r>
            <w:r w:rsidR="008E1997">
              <w:t xml:space="preserve">nnecessary emergency department, </w:t>
            </w:r>
            <w:r w:rsidR="00980F67">
              <w:t>inpatient hospital visits</w:t>
            </w:r>
            <w:r w:rsidR="008E1997">
              <w:t>, and/or avoidable readmissions</w:t>
            </w:r>
            <w:r w:rsidRPr="005E49E4">
              <w:t xml:space="preserve">.  </w:t>
            </w:r>
          </w:p>
        </w:tc>
      </w:tr>
      <w:tr w:rsidR="001062B6" w14:paraId="06965303" w14:textId="77777777" w:rsidTr="000D0468">
        <w:tc>
          <w:tcPr>
            <w:tcW w:w="3600" w:type="dxa"/>
          </w:tcPr>
          <w:p w14:paraId="587A7102" w14:textId="77777777" w:rsidR="001062B6" w:rsidRDefault="001062B6" w:rsidP="000D0468">
            <w:pPr>
              <w:rPr>
                <w:b/>
              </w:rPr>
            </w:pPr>
            <w:r w:rsidRPr="00F43692">
              <w:rPr>
                <w:b/>
              </w:rPr>
              <w:lastRenderedPageBreak/>
              <w:t>Participating Program Partners</w:t>
            </w:r>
          </w:p>
          <w:p w14:paraId="6C4E36DC" w14:textId="77777777" w:rsidR="001062B6" w:rsidRPr="00F43692" w:rsidRDefault="001062B6" w:rsidP="000D0468">
            <w:pPr>
              <w:rPr>
                <w:b/>
              </w:rPr>
            </w:pPr>
            <w:r w:rsidRPr="000075DB">
              <w:rPr>
                <w:i/>
                <w:sz w:val="20"/>
                <w:szCs w:val="20"/>
              </w:rPr>
              <w:t>Please</w:t>
            </w:r>
            <w:r>
              <w:rPr>
                <w:i/>
                <w:sz w:val="20"/>
                <w:szCs w:val="20"/>
              </w:rPr>
              <w:t xml:space="preserve"> list </w:t>
            </w:r>
            <w:r>
              <w:rPr>
                <w:i/>
                <w:sz w:val="20"/>
              </w:rPr>
              <w:t>the relevant community-based organizations or provider groups, contractors, and/or public partners</w:t>
            </w:r>
          </w:p>
        </w:tc>
        <w:tc>
          <w:tcPr>
            <w:tcW w:w="5755" w:type="dxa"/>
          </w:tcPr>
          <w:p w14:paraId="0F9B8DA9" w14:textId="77777777" w:rsidR="001062B6" w:rsidRPr="000E2355" w:rsidRDefault="001062B6" w:rsidP="000D0468">
            <w:pPr>
              <w:pStyle w:val="BodyText"/>
              <w:numPr>
                <w:ilvl w:val="0"/>
                <w:numId w:val="8"/>
              </w:numPr>
              <w:spacing w:before="1"/>
              <w:ind w:right="56"/>
              <w:rPr>
                <w:rFonts w:asciiTheme="minorHAnsi" w:hAnsiTheme="minorHAnsi"/>
                <w:sz w:val="22"/>
                <w:szCs w:val="22"/>
              </w:rPr>
            </w:pPr>
            <w:r w:rsidRPr="000E2355">
              <w:rPr>
                <w:rFonts w:asciiTheme="minorHAnsi" w:hAnsiTheme="minorHAnsi" w:cs="Times New Roman"/>
                <w:bCs/>
                <w:sz w:val="22"/>
                <w:szCs w:val="22"/>
              </w:rPr>
              <w:t>Alleg</w:t>
            </w:r>
            <w:r w:rsidRPr="000E2355">
              <w:rPr>
                <w:rFonts w:asciiTheme="minorHAnsi" w:hAnsiTheme="minorHAnsi" w:cs="Times New Roman"/>
                <w:bCs/>
                <w:spacing w:val="-2"/>
                <w:sz w:val="22"/>
                <w:szCs w:val="22"/>
              </w:rPr>
              <w:t>e</w:t>
            </w:r>
            <w:r w:rsidRPr="000E2355">
              <w:rPr>
                <w:rFonts w:asciiTheme="minorHAnsi" w:hAnsiTheme="minorHAnsi" w:cs="Times New Roman"/>
                <w:bCs/>
                <w:sz w:val="22"/>
                <w:szCs w:val="22"/>
              </w:rPr>
              <w:t>ant</w:t>
            </w:r>
          </w:p>
          <w:p w14:paraId="5D964A0F" w14:textId="77777777" w:rsidR="001062B6" w:rsidRPr="000E2355" w:rsidRDefault="001062B6" w:rsidP="000D0468">
            <w:pPr>
              <w:pStyle w:val="BodyText"/>
              <w:numPr>
                <w:ilvl w:val="0"/>
                <w:numId w:val="8"/>
              </w:numPr>
              <w:spacing w:before="2"/>
              <w:ind w:right="105"/>
              <w:rPr>
                <w:rFonts w:asciiTheme="minorHAnsi" w:hAnsiTheme="minorHAnsi"/>
                <w:sz w:val="22"/>
                <w:szCs w:val="22"/>
              </w:rPr>
            </w:pPr>
            <w:r w:rsidRPr="000E2355">
              <w:rPr>
                <w:rFonts w:asciiTheme="minorHAnsi" w:hAnsiTheme="minorHAnsi" w:cs="Times New Roman"/>
                <w:bCs/>
                <w:sz w:val="22"/>
                <w:szCs w:val="22"/>
              </w:rPr>
              <w:t>Balti</w:t>
            </w:r>
            <w:r w:rsidRPr="000E2355">
              <w:rPr>
                <w:rFonts w:asciiTheme="minorHAnsi" w:hAnsiTheme="minorHAnsi" w:cs="Times New Roman"/>
                <w:bCs/>
                <w:spacing w:val="-3"/>
                <w:sz w:val="22"/>
                <w:szCs w:val="22"/>
              </w:rPr>
              <w:t>m</w:t>
            </w:r>
            <w:r w:rsidRPr="000E2355">
              <w:rPr>
                <w:rFonts w:asciiTheme="minorHAnsi" w:hAnsiTheme="minorHAnsi" w:cs="Times New Roman"/>
                <w:bCs/>
                <w:sz w:val="22"/>
                <w:szCs w:val="22"/>
              </w:rPr>
              <w:t>o</w:t>
            </w:r>
            <w:r w:rsidRPr="000E2355">
              <w:rPr>
                <w:rFonts w:asciiTheme="minorHAnsi" w:hAnsiTheme="minorHAnsi" w:cs="Times New Roman"/>
                <w:bCs/>
                <w:spacing w:val="1"/>
                <w:sz w:val="22"/>
                <w:szCs w:val="22"/>
              </w:rPr>
              <w:t>r</w:t>
            </w:r>
            <w:r w:rsidRPr="000E2355">
              <w:rPr>
                <w:rFonts w:asciiTheme="minorHAnsi" w:hAnsiTheme="minorHAnsi" w:cs="Times New Roman"/>
                <w:bCs/>
                <w:sz w:val="22"/>
                <w:szCs w:val="22"/>
              </w:rPr>
              <w:t>e</w:t>
            </w:r>
            <w:r w:rsidRPr="000E2355">
              <w:rPr>
                <w:rFonts w:asciiTheme="minorHAnsi" w:hAnsiTheme="minorHAnsi" w:cs="Times New Roman"/>
                <w:bCs/>
                <w:spacing w:val="-1"/>
                <w:sz w:val="22"/>
                <w:szCs w:val="22"/>
              </w:rPr>
              <w:t xml:space="preserve"> </w:t>
            </w:r>
            <w:r w:rsidRPr="000E2355">
              <w:rPr>
                <w:rFonts w:asciiTheme="minorHAnsi" w:hAnsiTheme="minorHAnsi" w:cs="Times New Roman"/>
                <w:bCs/>
                <w:sz w:val="22"/>
                <w:szCs w:val="22"/>
              </w:rPr>
              <w:t>Cou</w:t>
            </w:r>
            <w:r w:rsidRPr="000E2355">
              <w:rPr>
                <w:rFonts w:asciiTheme="minorHAnsi" w:hAnsiTheme="minorHAnsi" w:cs="Times New Roman"/>
                <w:bCs/>
                <w:spacing w:val="1"/>
                <w:sz w:val="22"/>
                <w:szCs w:val="22"/>
              </w:rPr>
              <w:t>n</w:t>
            </w:r>
            <w:r w:rsidRPr="000E2355">
              <w:rPr>
                <w:rFonts w:asciiTheme="minorHAnsi" w:hAnsiTheme="minorHAnsi" w:cs="Times New Roman"/>
                <w:bCs/>
                <w:sz w:val="22"/>
                <w:szCs w:val="22"/>
              </w:rPr>
              <w:t>ty H</w:t>
            </w:r>
            <w:r w:rsidRPr="000E2355">
              <w:rPr>
                <w:rFonts w:asciiTheme="minorHAnsi" w:hAnsiTheme="minorHAnsi" w:cs="Times New Roman"/>
                <w:bCs/>
                <w:spacing w:val="-2"/>
                <w:sz w:val="22"/>
                <w:szCs w:val="22"/>
              </w:rPr>
              <w:t>e</w:t>
            </w:r>
            <w:r w:rsidRPr="000E2355">
              <w:rPr>
                <w:rFonts w:asciiTheme="minorHAnsi" w:hAnsiTheme="minorHAnsi" w:cs="Times New Roman"/>
                <w:bCs/>
                <w:sz w:val="22"/>
                <w:szCs w:val="22"/>
              </w:rPr>
              <w:t>alth D</w:t>
            </w:r>
            <w:r w:rsidRPr="000E2355">
              <w:rPr>
                <w:rFonts w:asciiTheme="minorHAnsi" w:hAnsiTheme="minorHAnsi" w:cs="Times New Roman"/>
                <w:bCs/>
                <w:spacing w:val="-1"/>
                <w:sz w:val="22"/>
                <w:szCs w:val="22"/>
              </w:rPr>
              <w:t>e</w:t>
            </w:r>
            <w:r w:rsidRPr="000E2355">
              <w:rPr>
                <w:rFonts w:asciiTheme="minorHAnsi" w:hAnsiTheme="minorHAnsi" w:cs="Times New Roman"/>
                <w:bCs/>
                <w:sz w:val="22"/>
                <w:szCs w:val="22"/>
              </w:rPr>
              <w:t>pa</w:t>
            </w:r>
            <w:r w:rsidRPr="000E2355">
              <w:rPr>
                <w:rFonts w:asciiTheme="minorHAnsi" w:hAnsiTheme="minorHAnsi" w:cs="Times New Roman"/>
                <w:bCs/>
                <w:spacing w:val="-1"/>
                <w:sz w:val="22"/>
                <w:szCs w:val="22"/>
              </w:rPr>
              <w:t>r</w:t>
            </w:r>
            <w:r w:rsidRPr="000E2355">
              <w:rPr>
                <w:rFonts w:asciiTheme="minorHAnsi" w:hAnsiTheme="minorHAnsi" w:cs="Times New Roman"/>
                <w:bCs/>
                <w:spacing w:val="1"/>
                <w:sz w:val="22"/>
                <w:szCs w:val="22"/>
              </w:rPr>
              <w:t>t</w:t>
            </w:r>
            <w:r w:rsidRPr="000E2355">
              <w:rPr>
                <w:rFonts w:asciiTheme="minorHAnsi" w:hAnsiTheme="minorHAnsi" w:cs="Times New Roman"/>
                <w:bCs/>
                <w:spacing w:val="-1"/>
                <w:sz w:val="22"/>
                <w:szCs w:val="22"/>
              </w:rPr>
              <w:t>me</w:t>
            </w:r>
            <w:r w:rsidRPr="000E2355">
              <w:rPr>
                <w:rFonts w:asciiTheme="minorHAnsi" w:hAnsiTheme="minorHAnsi" w:cs="Times New Roman"/>
                <w:bCs/>
                <w:sz w:val="22"/>
                <w:szCs w:val="22"/>
              </w:rPr>
              <w:t>nt</w:t>
            </w:r>
            <w:r w:rsidRPr="000E2355">
              <w:rPr>
                <w:rFonts w:asciiTheme="minorHAnsi" w:hAnsiTheme="minorHAnsi"/>
                <w:sz w:val="22"/>
                <w:szCs w:val="22"/>
              </w:rPr>
              <w:t xml:space="preserve"> </w:t>
            </w:r>
          </w:p>
          <w:p w14:paraId="69A40E18" w14:textId="77777777" w:rsidR="001062B6" w:rsidRPr="00D676CA" w:rsidRDefault="001062B6" w:rsidP="000D0468">
            <w:pPr>
              <w:pStyle w:val="BodyText"/>
              <w:numPr>
                <w:ilvl w:val="0"/>
                <w:numId w:val="8"/>
              </w:numPr>
              <w:spacing w:before="2"/>
              <w:ind w:right="105"/>
              <w:rPr>
                <w:rFonts w:asciiTheme="minorHAnsi" w:hAnsiTheme="minorHAnsi"/>
                <w:sz w:val="22"/>
                <w:szCs w:val="22"/>
              </w:rPr>
            </w:pPr>
            <w:r w:rsidRPr="000E2355">
              <w:rPr>
                <w:rFonts w:asciiTheme="minorHAnsi" w:hAnsiTheme="minorHAnsi" w:cs="Times New Roman"/>
                <w:bCs/>
                <w:sz w:val="22"/>
                <w:szCs w:val="22"/>
              </w:rPr>
              <w:t>Ca</w:t>
            </w:r>
            <w:r w:rsidRPr="000E2355">
              <w:rPr>
                <w:rFonts w:asciiTheme="minorHAnsi" w:hAnsiTheme="minorHAnsi" w:cs="Times New Roman"/>
                <w:bCs/>
                <w:spacing w:val="-2"/>
                <w:sz w:val="22"/>
                <w:szCs w:val="22"/>
              </w:rPr>
              <w:t>r</w:t>
            </w:r>
            <w:r w:rsidRPr="000E2355">
              <w:rPr>
                <w:rFonts w:asciiTheme="minorHAnsi" w:hAnsiTheme="minorHAnsi" w:cs="Times New Roman"/>
                <w:bCs/>
                <w:sz w:val="22"/>
                <w:szCs w:val="22"/>
              </w:rPr>
              <w:t>e</w:t>
            </w:r>
            <w:r w:rsidRPr="000E2355">
              <w:rPr>
                <w:rFonts w:asciiTheme="minorHAnsi" w:hAnsiTheme="minorHAnsi" w:cs="Times New Roman"/>
                <w:bCs/>
                <w:spacing w:val="1"/>
                <w:sz w:val="22"/>
                <w:szCs w:val="22"/>
              </w:rPr>
              <w:t xml:space="preserve"> </w:t>
            </w:r>
            <w:r w:rsidRPr="000E2355">
              <w:rPr>
                <w:rFonts w:asciiTheme="minorHAnsi" w:hAnsiTheme="minorHAnsi" w:cs="Times New Roman"/>
                <w:bCs/>
                <w:spacing w:val="-3"/>
                <w:sz w:val="22"/>
                <w:szCs w:val="22"/>
              </w:rPr>
              <w:t>P</w:t>
            </w:r>
            <w:r w:rsidRPr="000E2355">
              <w:rPr>
                <w:rFonts w:asciiTheme="minorHAnsi" w:hAnsiTheme="minorHAnsi" w:cs="Times New Roman"/>
                <w:bCs/>
                <w:spacing w:val="-1"/>
                <w:sz w:val="22"/>
                <w:szCs w:val="22"/>
              </w:rPr>
              <w:t>r</w:t>
            </w:r>
            <w:r w:rsidRPr="000E2355">
              <w:rPr>
                <w:rFonts w:asciiTheme="minorHAnsi" w:hAnsiTheme="minorHAnsi" w:cs="Times New Roman"/>
                <w:bCs/>
                <w:sz w:val="22"/>
                <w:szCs w:val="22"/>
              </w:rPr>
              <w:t>o</w:t>
            </w:r>
            <w:r w:rsidRPr="000E2355">
              <w:rPr>
                <w:rFonts w:asciiTheme="minorHAnsi" w:hAnsiTheme="minorHAnsi" w:cs="Times New Roman"/>
                <w:bCs/>
                <w:spacing w:val="2"/>
                <w:sz w:val="22"/>
                <w:szCs w:val="22"/>
              </w:rPr>
              <w:t>g</w:t>
            </w:r>
            <w:r w:rsidRPr="000E2355">
              <w:rPr>
                <w:rFonts w:asciiTheme="minorHAnsi" w:hAnsiTheme="minorHAnsi" w:cs="Times New Roman"/>
                <w:bCs/>
                <w:spacing w:val="-1"/>
                <w:sz w:val="22"/>
                <w:szCs w:val="22"/>
              </w:rPr>
              <w:t>re</w:t>
            </w:r>
            <w:r w:rsidRPr="000E2355">
              <w:rPr>
                <w:rFonts w:asciiTheme="minorHAnsi" w:hAnsiTheme="minorHAnsi" w:cs="Times New Roman"/>
                <w:bCs/>
                <w:sz w:val="22"/>
                <w:szCs w:val="22"/>
              </w:rPr>
              <w:t>ss, LLC</w:t>
            </w:r>
            <w:r w:rsidRPr="000E2355">
              <w:rPr>
                <w:rFonts w:asciiTheme="minorHAnsi" w:hAnsiTheme="minorHAnsi" w:cs="Times New Roman"/>
                <w:bCs/>
                <w:spacing w:val="-1"/>
                <w:sz w:val="22"/>
                <w:szCs w:val="22"/>
              </w:rPr>
              <w:t xml:space="preserve">  </w:t>
            </w:r>
          </w:p>
          <w:p w14:paraId="55BD9718" w14:textId="77777777" w:rsidR="001062B6" w:rsidRPr="000E2355" w:rsidRDefault="001062B6" w:rsidP="000D0468">
            <w:pPr>
              <w:pStyle w:val="BodyText"/>
              <w:numPr>
                <w:ilvl w:val="0"/>
                <w:numId w:val="8"/>
              </w:numPr>
              <w:spacing w:before="2"/>
              <w:ind w:right="105"/>
              <w:rPr>
                <w:rFonts w:asciiTheme="minorHAnsi" w:hAnsiTheme="minorHAnsi"/>
                <w:sz w:val="22"/>
                <w:szCs w:val="22"/>
              </w:rPr>
            </w:pPr>
            <w:r>
              <w:rPr>
                <w:rFonts w:asciiTheme="minorHAnsi" w:hAnsiTheme="minorHAnsi" w:cs="Times New Roman"/>
                <w:bCs/>
                <w:spacing w:val="-1"/>
                <w:sz w:val="22"/>
                <w:szCs w:val="22"/>
              </w:rPr>
              <w:t>Catholic Charities</w:t>
            </w:r>
          </w:p>
          <w:p w14:paraId="655A4E88" w14:textId="77777777" w:rsidR="001062B6" w:rsidRPr="000E2355" w:rsidRDefault="001062B6" w:rsidP="000D0468">
            <w:pPr>
              <w:pStyle w:val="BodyText"/>
              <w:numPr>
                <w:ilvl w:val="0"/>
                <w:numId w:val="8"/>
              </w:numPr>
              <w:spacing w:before="2"/>
              <w:ind w:right="138"/>
              <w:rPr>
                <w:rFonts w:asciiTheme="minorHAnsi" w:hAnsiTheme="minorHAnsi"/>
                <w:spacing w:val="2"/>
                <w:sz w:val="22"/>
                <w:szCs w:val="22"/>
              </w:rPr>
            </w:pPr>
            <w:r w:rsidRPr="000E2355">
              <w:rPr>
                <w:rFonts w:asciiTheme="minorHAnsi" w:hAnsiTheme="minorHAnsi" w:cs="Times New Roman"/>
                <w:bCs/>
                <w:sz w:val="22"/>
                <w:szCs w:val="22"/>
              </w:rPr>
              <w:t>Ev</w:t>
            </w:r>
            <w:r w:rsidRPr="000E2355">
              <w:rPr>
                <w:rFonts w:asciiTheme="minorHAnsi" w:hAnsiTheme="minorHAnsi" w:cs="Times New Roman"/>
                <w:bCs/>
                <w:spacing w:val="-1"/>
                <w:sz w:val="22"/>
                <w:szCs w:val="22"/>
              </w:rPr>
              <w:t>er</w:t>
            </w:r>
            <w:r w:rsidRPr="000E2355">
              <w:rPr>
                <w:rFonts w:asciiTheme="minorHAnsi" w:hAnsiTheme="minorHAnsi" w:cs="Times New Roman"/>
                <w:bCs/>
                <w:sz w:val="22"/>
                <w:szCs w:val="22"/>
              </w:rPr>
              <w:t>g</w:t>
            </w:r>
            <w:r w:rsidRPr="000E2355">
              <w:rPr>
                <w:rFonts w:asciiTheme="minorHAnsi" w:hAnsiTheme="minorHAnsi" w:cs="Times New Roman"/>
                <w:bCs/>
                <w:spacing w:val="-1"/>
                <w:sz w:val="22"/>
                <w:szCs w:val="22"/>
              </w:rPr>
              <w:t>r</w:t>
            </w:r>
            <w:r w:rsidRPr="000E2355">
              <w:rPr>
                <w:rFonts w:asciiTheme="minorHAnsi" w:hAnsiTheme="minorHAnsi" w:cs="Times New Roman"/>
                <w:bCs/>
                <w:spacing w:val="1"/>
                <w:sz w:val="22"/>
                <w:szCs w:val="22"/>
              </w:rPr>
              <w:t>e</w:t>
            </w:r>
            <w:r w:rsidRPr="000E2355">
              <w:rPr>
                <w:rFonts w:asciiTheme="minorHAnsi" w:hAnsiTheme="minorHAnsi" w:cs="Times New Roman"/>
                <w:bCs/>
                <w:spacing w:val="-1"/>
                <w:sz w:val="22"/>
                <w:szCs w:val="22"/>
              </w:rPr>
              <w:t>e</w:t>
            </w:r>
            <w:r w:rsidRPr="000E2355">
              <w:rPr>
                <w:rFonts w:asciiTheme="minorHAnsi" w:hAnsiTheme="minorHAnsi" w:cs="Times New Roman"/>
                <w:bCs/>
                <w:sz w:val="22"/>
                <w:szCs w:val="22"/>
              </w:rPr>
              <w:t>n Heal</w:t>
            </w:r>
            <w:r w:rsidRPr="000E2355">
              <w:rPr>
                <w:rFonts w:asciiTheme="minorHAnsi" w:hAnsiTheme="minorHAnsi" w:cs="Times New Roman"/>
                <w:bCs/>
                <w:spacing w:val="-1"/>
                <w:sz w:val="22"/>
                <w:szCs w:val="22"/>
              </w:rPr>
              <w:t>t</w:t>
            </w:r>
            <w:r w:rsidRPr="000E2355">
              <w:rPr>
                <w:rFonts w:asciiTheme="minorHAnsi" w:hAnsiTheme="minorHAnsi" w:cs="Times New Roman"/>
                <w:bCs/>
                <w:sz w:val="22"/>
                <w:szCs w:val="22"/>
              </w:rPr>
              <w:t>h</w:t>
            </w:r>
          </w:p>
          <w:p w14:paraId="548396F0" w14:textId="77777777" w:rsidR="001062B6" w:rsidRPr="000E2355" w:rsidRDefault="001062B6" w:rsidP="000D0468">
            <w:pPr>
              <w:pStyle w:val="BodyText"/>
              <w:numPr>
                <w:ilvl w:val="0"/>
                <w:numId w:val="8"/>
              </w:numPr>
              <w:spacing w:before="3"/>
              <w:ind w:right="215"/>
              <w:rPr>
                <w:rFonts w:asciiTheme="minorHAnsi" w:hAnsiTheme="minorHAnsi"/>
                <w:sz w:val="22"/>
                <w:szCs w:val="22"/>
              </w:rPr>
            </w:pPr>
            <w:r w:rsidRPr="000E2355">
              <w:rPr>
                <w:rFonts w:asciiTheme="minorHAnsi" w:hAnsiTheme="minorHAnsi" w:cs="Times New Roman"/>
                <w:bCs/>
                <w:sz w:val="22"/>
                <w:szCs w:val="22"/>
              </w:rPr>
              <w:t>Heal</w:t>
            </w:r>
            <w:r w:rsidRPr="000E2355">
              <w:rPr>
                <w:rFonts w:asciiTheme="minorHAnsi" w:hAnsiTheme="minorHAnsi" w:cs="Times New Roman"/>
                <w:bCs/>
                <w:spacing w:val="-1"/>
                <w:sz w:val="22"/>
                <w:szCs w:val="22"/>
              </w:rPr>
              <w:t>t</w:t>
            </w:r>
            <w:r w:rsidRPr="000E2355">
              <w:rPr>
                <w:rFonts w:asciiTheme="minorHAnsi" w:hAnsiTheme="minorHAnsi" w:cs="Times New Roman"/>
                <w:bCs/>
                <w:sz w:val="22"/>
                <w:szCs w:val="22"/>
              </w:rPr>
              <w:t>h Ca</w:t>
            </w:r>
            <w:r w:rsidRPr="000E2355">
              <w:rPr>
                <w:rFonts w:asciiTheme="minorHAnsi" w:hAnsiTheme="minorHAnsi" w:cs="Times New Roman"/>
                <w:bCs/>
                <w:spacing w:val="-2"/>
                <w:sz w:val="22"/>
                <w:szCs w:val="22"/>
              </w:rPr>
              <w:t>r</w:t>
            </w:r>
            <w:r w:rsidRPr="000E2355">
              <w:rPr>
                <w:rFonts w:asciiTheme="minorHAnsi" w:hAnsiTheme="minorHAnsi" w:cs="Times New Roman"/>
                <w:bCs/>
                <w:sz w:val="22"/>
                <w:szCs w:val="22"/>
              </w:rPr>
              <w:t>e</w:t>
            </w:r>
            <w:r w:rsidRPr="000E2355">
              <w:rPr>
                <w:rFonts w:asciiTheme="minorHAnsi" w:hAnsiTheme="minorHAnsi" w:cs="Times New Roman"/>
                <w:bCs/>
                <w:spacing w:val="-1"/>
                <w:sz w:val="22"/>
                <w:szCs w:val="22"/>
              </w:rPr>
              <w:t xml:space="preserve"> </w:t>
            </w:r>
            <w:r w:rsidRPr="000E2355">
              <w:rPr>
                <w:rFonts w:asciiTheme="minorHAnsi" w:hAnsiTheme="minorHAnsi" w:cs="Times New Roman"/>
                <w:bCs/>
                <w:spacing w:val="1"/>
                <w:sz w:val="22"/>
                <w:szCs w:val="22"/>
              </w:rPr>
              <w:t>f</w:t>
            </w:r>
            <w:r w:rsidRPr="000E2355">
              <w:rPr>
                <w:rFonts w:asciiTheme="minorHAnsi" w:hAnsiTheme="minorHAnsi" w:cs="Times New Roman"/>
                <w:bCs/>
                <w:sz w:val="22"/>
                <w:szCs w:val="22"/>
              </w:rPr>
              <w:t>or</w:t>
            </w:r>
            <w:r w:rsidRPr="000E2355">
              <w:rPr>
                <w:rFonts w:asciiTheme="minorHAnsi" w:hAnsiTheme="minorHAnsi" w:cs="Times New Roman"/>
                <w:bCs/>
                <w:spacing w:val="-1"/>
                <w:sz w:val="22"/>
                <w:szCs w:val="22"/>
              </w:rPr>
              <w:t xml:space="preserve"> </w:t>
            </w:r>
            <w:r w:rsidRPr="000E2355">
              <w:rPr>
                <w:rFonts w:asciiTheme="minorHAnsi" w:hAnsiTheme="minorHAnsi" w:cs="Times New Roman"/>
                <w:bCs/>
                <w:sz w:val="22"/>
                <w:szCs w:val="22"/>
              </w:rPr>
              <w:t>All C</w:t>
            </w:r>
            <w:r w:rsidRPr="000E2355">
              <w:rPr>
                <w:rFonts w:asciiTheme="minorHAnsi" w:hAnsiTheme="minorHAnsi" w:cs="Times New Roman"/>
                <w:bCs/>
                <w:spacing w:val="2"/>
                <w:sz w:val="22"/>
                <w:szCs w:val="22"/>
              </w:rPr>
              <w:t>o</w:t>
            </w:r>
            <w:r w:rsidRPr="000E2355">
              <w:rPr>
                <w:rFonts w:asciiTheme="minorHAnsi" w:hAnsiTheme="minorHAnsi" w:cs="Times New Roman"/>
                <w:bCs/>
                <w:sz w:val="22"/>
                <w:szCs w:val="22"/>
              </w:rPr>
              <w:t>alition</w:t>
            </w:r>
          </w:p>
          <w:p w14:paraId="574265BB" w14:textId="77777777" w:rsidR="001062B6" w:rsidRPr="000E2355" w:rsidRDefault="001062B6" w:rsidP="000D0468">
            <w:pPr>
              <w:pStyle w:val="BodyText"/>
              <w:numPr>
                <w:ilvl w:val="0"/>
                <w:numId w:val="8"/>
              </w:numPr>
              <w:spacing w:before="7"/>
              <w:ind w:right="56"/>
              <w:rPr>
                <w:rFonts w:asciiTheme="minorHAnsi" w:hAnsiTheme="minorHAnsi"/>
                <w:sz w:val="22"/>
                <w:szCs w:val="22"/>
              </w:rPr>
            </w:pPr>
            <w:r w:rsidRPr="000E2355">
              <w:rPr>
                <w:rFonts w:asciiTheme="minorHAnsi" w:hAnsiTheme="minorHAnsi" w:cs="Times New Roman"/>
                <w:bCs/>
                <w:spacing w:val="-2"/>
                <w:sz w:val="22"/>
                <w:szCs w:val="22"/>
              </w:rPr>
              <w:t>K</w:t>
            </w:r>
            <w:r w:rsidRPr="000E2355">
              <w:rPr>
                <w:rFonts w:asciiTheme="minorHAnsi" w:hAnsiTheme="minorHAnsi" w:cs="Times New Roman"/>
                <w:bCs/>
                <w:spacing w:val="-1"/>
                <w:sz w:val="22"/>
                <w:szCs w:val="22"/>
              </w:rPr>
              <w:t>e</w:t>
            </w:r>
            <w:r w:rsidRPr="000E2355">
              <w:rPr>
                <w:rFonts w:asciiTheme="minorHAnsi" w:hAnsiTheme="minorHAnsi" w:cs="Times New Roman"/>
                <w:bCs/>
                <w:sz w:val="22"/>
                <w:szCs w:val="22"/>
              </w:rPr>
              <w:t>s</w:t>
            </w:r>
            <w:r w:rsidRPr="000E2355">
              <w:rPr>
                <w:rFonts w:asciiTheme="minorHAnsi" w:hAnsiTheme="minorHAnsi" w:cs="Times New Roman"/>
                <w:bCs/>
                <w:spacing w:val="1"/>
                <w:sz w:val="22"/>
                <w:szCs w:val="22"/>
              </w:rPr>
              <w:t>w</w:t>
            </w:r>
            <w:r w:rsidRPr="000E2355">
              <w:rPr>
                <w:rFonts w:asciiTheme="minorHAnsi" w:hAnsiTheme="minorHAnsi" w:cs="Times New Roman"/>
                <w:bCs/>
                <w:sz w:val="22"/>
                <w:szCs w:val="22"/>
              </w:rPr>
              <w:t>ick Multi</w:t>
            </w:r>
            <w:r w:rsidRPr="000E2355">
              <w:rPr>
                <w:rFonts w:asciiTheme="minorHAnsi" w:hAnsiTheme="minorHAnsi" w:cs="Times New Roman"/>
                <w:bCs/>
                <w:spacing w:val="-1"/>
                <w:sz w:val="22"/>
                <w:szCs w:val="22"/>
              </w:rPr>
              <w:t>-</w:t>
            </w:r>
            <w:r w:rsidRPr="000E2355">
              <w:rPr>
                <w:rFonts w:asciiTheme="minorHAnsi" w:hAnsiTheme="minorHAnsi" w:cs="Times New Roman"/>
                <w:bCs/>
                <w:sz w:val="22"/>
                <w:szCs w:val="22"/>
              </w:rPr>
              <w:t>Ca</w:t>
            </w:r>
            <w:r w:rsidRPr="000E2355">
              <w:rPr>
                <w:rFonts w:asciiTheme="minorHAnsi" w:hAnsiTheme="minorHAnsi" w:cs="Times New Roman"/>
                <w:bCs/>
                <w:spacing w:val="-2"/>
                <w:sz w:val="22"/>
                <w:szCs w:val="22"/>
              </w:rPr>
              <w:t>r</w:t>
            </w:r>
            <w:r w:rsidRPr="000E2355">
              <w:rPr>
                <w:rFonts w:asciiTheme="minorHAnsi" w:hAnsiTheme="minorHAnsi" w:cs="Times New Roman"/>
                <w:bCs/>
                <w:sz w:val="22"/>
                <w:szCs w:val="22"/>
              </w:rPr>
              <w:t>e</w:t>
            </w:r>
            <w:r w:rsidRPr="000E2355">
              <w:rPr>
                <w:rFonts w:asciiTheme="minorHAnsi" w:hAnsiTheme="minorHAnsi" w:cs="Times New Roman"/>
                <w:bCs/>
                <w:spacing w:val="1"/>
                <w:sz w:val="22"/>
                <w:szCs w:val="22"/>
              </w:rPr>
              <w:t xml:space="preserve"> </w:t>
            </w:r>
            <w:r w:rsidRPr="000E2355">
              <w:rPr>
                <w:rFonts w:asciiTheme="minorHAnsi" w:hAnsiTheme="minorHAnsi" w:cs="Times New Roman"/>
                <w:bCs/>
                <w:sz w:val="22"/>
                <w:szCs w:val="22"/>
              </w:rPr>
              <w:t>Cent</w:t>
            </w:r>
            <w:r w:rsidRPr="000E2355">
              <w:rPr>
                <w:rFonts w:asciiTheme="minorHAnsi" w:hAnsiTheme="minorHAnsi" w:cs="Times New Roman"/>
                <w:bCs/>
                <w:spacing w:val="-2"/>
                <w:sz w:val="22"/>
                <w:szCs w:val="22"/>
              </w:rPr>
              <w:t>e</w:t>
            </w:r>
            <w:r w:rsidRPr="000E2355">
              <w:rPr>
                <w:rFonts w:asciiTheme="minorHAnsi" w:hAnsiTheme="minorHAnsi" w:cs="Times New Roman"/>
                <w:bCs/>
                <w:spacing w:val="-1"/>
                <w:sz w:val="22"/>
                <w:szCs w:val="22"/>
              </w:rPr>
              <w:t>r</w:t>
            </w:r>
            <w:r w:rsidRPr="000E2355">
              <w:rPr>
                <w:rFonts w:asciiTheme="minorHAnsi" w:hAnsiTheme="minorHAnsi" w:cs="Times New Roman"/>
                <w:bCs/>
                <w:sz w:val="22"/>
                <w:szCs w:val="22"/>
              </w:rPr>
              <w:t xml:space="preserve"> </w:t>
            </w:r>
          </w:p>
          <w:p w14:paraId="29458A08" w14:textId="77777777" w:rsidR="001062B6" w:rsidRPr="000E2355" w:rsidRDefault="001062B6" w:rsidP="000D0468">
            <w:pPr>
              <w:pStyle w:val="BodyText"/>
              <w:numPr>
                <w:ilvl w:val="0"/>
                <w:numId w:val="8"/>
              </w:numPr>
              <w:spacing w:before="3"/>
              <w:ind w:right="138"/>
              <w:rPr>
                <w:rFonts w:asciiTheme="minorHAnsi" w:hAnsiTheme="minorHAnsi"/>
                <w:sz w:val="22"/>
                <w:szCs w:val="22"/>
              </w:rPr>
            </w:pPr>
            <w:r w:rsidRPr="000E2355">
              <w:rPr>
                <w:rFonts w:asciiTheme="minorHAnsi" w:hAnsiTheme="minorHAnsi" w:cs="Times New Roman"/>
                <w:bCs/>
                <w:spacing w:val="-2"/>
                <w:sz w:val="22"/>
                <w:szCs w:val="22"/>
              </w:rPr>
              <w:t>K</w:t>
            </w:r>
            <w:r w:rsidRPr="000E2355">
              <w:rPr>
                <w:rFonts w:asciiTheme="minorHAnsi" w:hAnsiTheme="minorHAnsi" w:cs="Times New Roman"/>
                <w:bCs/>
                <w:sz w:val="22"/>
                <w:szCs w:val="22"/>
              </w:rPr>
              <w:t>o</w:t>
            </w:r>
            <w:r w:rsidRPr="000E2355">
              <w:rPr>
                <w:rFonts w:asciiTheme="minorHAnsi" w:hAnsiTheme="minorHAnsi" w:cs="Times New Roman"/>
                <w:bCs/>
                <w:spacing w:val="2"/>
                <w:sz w:val="22"/>
                <w:szCs w:val="22"/>
              </w:rPr>
              <w:t>l</w:t>
            </w:r>
            <w:r w:rsidRPr="000E2355">
              <w:rPr>
                <w:rFonts w:asciiTheme="minorHAnsi" w:hAnsiTheme="minorHAnsi" w:cs="Times New Roman"/>
                <w:bCs/>
                <w:spacing w:val="-4"/>
                <w:sz w:val="22"/>
                <w:szCs w:val="22"/>
              </w:rPr>
              <w:t>m</w:t>
            </w:r>
            <w:r w:rsidRPr="000E2355">
              <w:rPr>
                <w:rFonts w:asciiTheme="minorHAnsi" w:hAnsiTheme="minorHAnsi" w:cs="Times New Roman"/>
                <w:bCs/>
                <w:sz w:val="22"/>
                <w:szCs w:val="22"/>
              </w:rPr>
              <w:t>ac</w:t>
            </w:r>
            <w:r w:rsidRPr="000E2355">
              <w:rPr>
                <w:rFonts w:asciiTheme="minorHAnsi" w:hAnsiTheme="minorHAnsi" w:cs="Times New Roman"/>
                <w:bCs/>
                <w:spacing w:val="1"/>
                <w:sz w:val="22"/>
                <w:szCs w:val="22"/>
              </w:rPr>
              <w:t xml:space="preserve"> </w:t>
            </w:r>
            <w:r w:rsidRPr="000E2355">
              <w:rPr>
                <w:rFonts w:asciiTheme="minorHAnsi" w:hAnsiTheme="minorHAnsi" w:cs="Times New Roman"/>
                <w:bCs/>
                <w:sz w:val="22"/>
                <w:szCs w:val="22"/>
              </w:rPr>
              <w:t>Cli</w:t>
            </w:r>
            <w:r w:rsidRPr="000E2355">
              <w:rPr>
                <w:rFonts w:asciiTheme="minorHAnsi" w:hAnsiTheme="minorHAnsi" w:cs="Times New Roman"/>
                <w:bCs/>
                <w:spacing w:val="1"/>
                <w:sz w:val="22"/>
                <w:szCs w:val="22"/>
              </w:rPr>
              <w:t>n</w:t>
            </w:r>
            <w:r w:rsidRPr="000E2355">
              <w:rPr>
                <w:rFonts w:asciiTheme="minorHAnsi" w:hAnsiTheme="minorHAnsi" w:cs="Times New Roman"/>
                <w:bCs/>
                <w:sz w:val="22"/>
                <w:szCs w:val="22"/>
              </w:rPr>
              <w:t>ic</w:t>
            </w:r>
          </w:p>
          <w:p w14:paraId="6BCD193D" w14:textId="77777777" w:rsidR="001062B6" w:rsidRPr="000E2355" w:rsidRDefault="001062B6" w:rsidP="000D0468">
            <w:pPr>
              <w:pStyle w:val="BodyText"/>
              <w:numPr>
                <w:ilvl w:val="0"/>
                <w:numId w:val="8"/>
              </w:numPr>
              <w:spacing w:before="6"/>
              <w:ind w:right="128"/>
              <w:rPr>
                <w:rFonts w:asciiTheme="minorHAnsi" w:hAnsiTheme="minorHAnsi"/>
                <w:sz w:val="22"/>
                <w:szCs w:val="22"/>
              </w:rPr>
            </w:pPr>
            <w:r w:rsidRPr="000E2355">
              <w:rPr>
                <w:rFonts w:asciiTheme="minorHAnsi" w:hAnsiTheme="minorHAnsi" w:cs="Times New Roman"/>
                <w:bCs/>
                <w:spacing w:val="-1"/>
                <w:sz w:val="22"/>
                <w:szCs w:val="22"/>
              </w:rPr>
              <w:t>M</w:t>
            </w:r>
            <w:r w:rsidRPr="000E2355">
              <w:rPr>
                <w:rFonts w:asciiTheme="minorHAnsi" w:hAnsiTheme="minorHAnsi" w:cs="Times New Roman"/>
                <w:bCs/>
                <w:sz w:val="22"/>
                <w:szCs w:val="22"/>
              </w:rPr>
              <w:t>osaic</w:t>
            </w:r>
            <w:r w:rsidRPr="000E2355">
              <w:rPr>
                <w:rFonts w:asciiTheme="minorHAnsi" w:hAnsiTheme="minorHAnsi" w:cs="Times New Roman"/>
                <w:bCs/>
                <w:spacing w:val="-1"/>
                <w:sz w:val="22"/>
                <w:szCs w:val="22"/>
              </w:rPr>
              <w:t xml:space="preserve"> c</w:t>
            </w:r>
            <w:r w:rsidRPr="000E2355">
              <w:rPr>
                <w:rFonts w:asciiTheme="minorHAnsi" w:hAnsiTheme="minorHAnsi" w:cs="Times New Roman"/>
                <w:bCs/>
                <w:spacing w:val="2"/>
                <w:sz w:val="22"/>
                <w:szCs w:val="22"/>
              </w:rPr>
              <w:t>o</w:t>
            </w:r>
            <w:r w:rsidRPr="000E2355">
              <w:rPr>
                <w:rFonts w:asciiTheme="minorHAnsi" w:hAnsiTheme="minorHAnsi" w:cs="Times New Roman"/>
                <w:bCs/>
                <w:spacing w:val="-1"/>
                <w:sz w:val="22"/>
                <w:szCs w:val="22"/>
              </w:rPr>
              <w:t>m</w:t>
            </w:r>
            <w:r w:rsidRPr="000E2355">
              <w:rPr>
                <w:rFonts w:asciiTheme="minorHAnsi" w:hAnsiTheme="minorHAnsi" w:cs="Times New Roman"/>
                <w:bCs/>
                <w:spacing w:val="-4"/>
                <w:sz w:val="22"/>
                <w:szCs w:val="22"/>
              </w:rPr>
              <w:t>m</w:t>
            </w:r>
            <w:r w:rsidRPr="000E2355">
              <w:rPr>
                <w:rFonts w:asciiTheme="minorHAnsi" w:hAnsiTheme="minorHAnsi" w:cs="Times New Roman"/>
                <w:bCs/>
                <w:sz w:val="22"/>
                <w:szCs w:val="22"/>
              </w:rPr>
              <w:t>unity services</w:t>
            </w:r>
          </w:p>
          <w:p w14:paraId="364E2C2D" w14:textId="77777777" w:rsidR="001062B6" w:rsidRPr="000E2355" w:rsidRDefault="001062B6" w:rsidP="000D0468">
            <w:pPr>
              <w:pStyle w:val="BodyText"/>
              <w:numPr>
                <w:ilvl w:val="0"/>
                <w:numId w:val="8"/>
              </w:numPr>
              <w:spacing w:before="6"/>
              <w:ind w:right="128"/>
              <w:rPr>
                <w:rFonts w:asciiTheme="minorHAnsi" w:hAnsiTheme="minorHAnsi"/>
                <w:sz w:val="22"/>
                <w:szCs w:val="22"/>
              </w:rPr>
            </w:pPr>
            <w:r w:rsidRPr="000E2355">
              <w:rPr>
                <w:rFonts w:asciiTheme="minorHAnsi" w:hAnsiTheme="minorHAnsi"/>
                <w:sz w:val="22"/>
                <w:szCs w:val="22"/>
              </w:rPr>
              <w:t>Med</w:t>
            </w:r>
            <w:r>
              <w:rPr>
                <w:rFonts w:asciiTheme="minorHAnsi" w:hAnsiTheme="minorHAnsi"/>
                <w:sz w:val="22"/>
                <w:szCs w:val="22"/>
              </w:rPr>
              <w:t>S</w:t>
            </w:r>
            <w:r w:rsidRPr="000E2355">
              <w:rPr>
                <w:rFonts w:asciiTheme="minorHAnsi" w:hAnsiTheme="minorHAnsi"/>
                <w:sz w:val="22"/>
                <w:szCs w:val="22"/>
              </w:rPr>
              <w:t>tar</w:t>
            </w:r>
          </w:p>
          <w:p w14:paraId="70018D4A" w14:textId="77777777" w:rsidR="001062B6" w:rsidRPr="00C671D9" w:rsidRDefault="001062B6" w:rsidP="000D0468">
            <w:pPr>
              <w:pStyle w:val="BodyText"/>
              <w:numPr>
                <w:ilvl w:val="0"/>
                <w:numId w:val="8"/>
              </w:numPr>
              <w:spacing w:before="6"/>
              <w:ind w:right="128"/>
              <w:rPr>
                <w:rFonts w:cs="Times New Roman"/>
                <w:i/>
                <w:spacing w:val="-1"/>
                <w:sz w:val="22"/>
                <w:szCs w:val="22"/>
              </w:rPr>
            </w:pPr>
            <w:r w:rsidRPr="000E2355">
              <w:rPr>
                <w:rFonts w:asciiTheme="minorHAnsi" w:hAnsiTheme="minorHAnsi" w:cs="Times New Roman"/>
                <w:bCs/>
                <w:spacing w:val="-1"/>
                <w:sz w:val="22"/>
                <w:szCs w:val="22"/>
              </w:rPr>
              <w:t>Sheppard Pratt Health System</w:t>
            </w:r>
          </w:p>
        </w:tc>
      </w:tr>
      <w:tr w:rsidR="001062B6" w14:paraId="543CF01F" w14:textId="77777777" w:rsidTr="000D0468">
        <w:trPr>
          <w:trHeight w:val="245"/>
        </w:trPr>
        <w:tc>
          <w:tcPr>
            <w:tcW w:w="3600" w:type="dxa"/>
            <w:vMerge w:val="restart"/>
          </w:tcPr>
          <w:p w14:paraId="4FFB48C5" w14:textId="77777777" w:rsidR="001062B6" w:rsidRPr="00F43692" w:rsidRDefault="001062B6" w:rsidP="000D0468">
            <w:pPr>
              <w:rPr>
                <w:b/>
              </w:rPr>
            </w:pPr>
            <w:r w:rsidRPr="00F43692">
              <w:rPr>
                <w:b/>
              </w:rPr>
              <w:t>Patients Served</w:t>
            </w:r>
          </w:p>
          <w:p w14:paraId="76238D9F" w14:textId="77777777" w:rsidR="001062B6" w:rsidRDefault="001062B6" w:rsidP="000D0468">
            <w:pPr>
              <w:rPr>
                <w:i/>
                <w:sz w:val="20"/>
                <w:szCs w:val="20"/>
              </w:rPr>
            </w:pPr>
            <w:r w:rsidRPr="000075DB">
              <w:rPr>
                <w:i/>
                <w:sz w:val="20"/>
                <w:szCs w:val="20"/>
              </w:rPr>
              <w:t>Please estimate using the Population category that best applies to the Intervention, from the</w:t>
            </w:r>
            <w:r>
              <w:rPr>
                <w:i/>
                <w:sz w:val="20"/>
                <w:szCs w:val="20"/>
              </w:rPr>
              <w:t xml:space="preserve"> CY 2017 </w:t>
            </w:r>
            <w:r w:rsidRPr="000075DB">
              <w:rPr>
                <w:i/>
                <w:sz w:val="20"/>
                <w:szCs w:val="20"/>
              </w:rPr>
              <w:t xml:space="preserve">RP Analytic Files. </w:t>
            </w:r>
          </w:p>
          <w:p w14:paraId="4CFD07B8" w14:textId="77777777" w:rsidR="001062B6" w:rsidRDefault="001062B6" w:rsidP="000D0468">
            <w:pPr>
              <w:rPr>
                <w:i/>
                <w:sz w:val="20"/>
                <w:szCs w:val="20"/>
              </w:rPr>
            </w:pPr>
            <w:r>
              <w:rPr>
                <w:i/>
                <w:sz w:val="20"/>
                <w:szCs w:val="20"/>
              </w:rPr>
              <w:t>HSCRC</w:t>
            </w:r>
            <w:r w:rsidRPr="000075DB">
              <w:rPr>
                <w:i/>
                <w:sz w:val="20"/>
                <w:szCs w:val="20"/>
              </w:rPr>
              <w:t xml:space="preserve"> acknowledge</w:t>
            </w:r>
            <w:r>
              <w:rPr>
                <w:i/>
                <w:sz w:val="20"/>
                <w:szCs w:val="20"/>
              </w:rPr>
              <w:t>s</w:t>
            </w:r>
            <w:r w:rsidRPr="000075DB">
              <w:rPr>
                <w:i/>
                <w:sz w:val="20"/>
                <w:szCs w:val="20"/>
              </w:rPr>
              <w:t xml:space="preserve"> that the High Utilizer/Rising Risk or Payer designations may over-state the population</w:t>
            </w:r>
            <w:r>
              <w:rPr>
                <w:i/>
                <w:sz w:val="20"/>
                <w:szCs w:val="20"/>
              </w:rPr>
              <w:t>,</w:t>
            </w:r>
            <w:r w:rsidRPr="000075DB">
              <w:rPr>
                <w:i/>
                <w:sz w:val="20"/>
                <w:szCs w:val="20"/>
              </w:rPr>
              <w:t xml:space="preserve"> or may not entirely represent this intervention’s targeted population.</w:t>
            </w:r>
          </w:p>
          <w:p w14:paraId="221DFA88" w14:textId="77777777" w:rsidR="001062B6" w:rsidRPr="000075DB" w:rsidRDefault="001062B6" w:rsidP="000D0468">
            <w:pPr>
              <w:rPr>
                <w:sz w:val="20"/>
                <w:szCs w:val="20"/>
              </w:rPr>
            </w:pPr>
            <w:r w:rsidRPr="000075DB">
              <w:rPr>
                <w:i/>
                <w:sz w:val="20"/>
                <w:szCs w:val="20"/>
              </w:rPr>
              <w:t xml:space="preserve">Feel free to </w:t>
            </w:r>
            <w:r w:rsidRPr="000075DB">
              <w:rPr>
                <w:b/>
                <w:i/>
                <w:sz w:val="20"/>
                <w:szCs w:val="20"/>
              </w:rPr>
              <w:t>also</w:t>
            </w:r>
            <w:r w:rsidRPr="000075DB">
              <w:rPr>
                <w:i/>
                <w:sz w:val="20"/>
                <w:szCs w:val="20"/>
              </w:rPr>
              <w:t xml:space="preserve"> include your partnership’s denominator.</w:t>
            </w:r>
          </w:p>
        </w:tc>
        <w:tc>
          <w:tcPr>
            <w:tcW w:w="5755" w:type="dxa"/>
          </w:tcPr>
          <w:p w14:paraId="3A16A97C" w14:textId="77777777" w:rsidR="001062B6" w:rsidRDefault="001062B6" w:rsidP="000D0468">
            <w:r>
              <w:t># of Patients Served a</w:t>
            </w:r>
            <w:r w:rsidRPr="002E25DB">
              <w:t>s of June 30, 2018</w:t>
            </w:r>
            <w:r>
              <w:t>:</w:t>
            </w:r>
            <w:r>
              <w:br/>
            </w:r>
          </w:p>
          <w:p w14:paraId="73210154" w14:textId="05F5B137" w:rsidR="00727F12" w:rsidRDefault="00654948" w:rsidP="000D0468">
            <w:r>
              <w:t>10,633</w:t>
            </w:r>
            <w:r w:rsidR="009B45D4">
              <w:t xml:space="preserve"> (as defined by the number of unique </w:t>
            </w:r>
            <w:r w:rsidR="00D945DA">
              <w:t xml:space="preserve">ambulatory </w:t>
            </w:r>
            <w:r w:rsidR="009B45D4">
              <w:t xml:space="preserve">patient care management touches) </w:t>
            </w:r>
          </w:p>
        </w:tc>
      </w:tr>
      <w:tr w:rsidR="001062B6" w14:paraId="6F490235" w14:textId="77777777" w:rsidTr="000D0468">
        <w:trPr>
          <w:trHeight w:val="244"/>
        </w:trPr>
        <w:tc>
          <w:tcPr>
            <w:tcW w:w="3600" w:type="dxa"/>
            <w:vMerge/>
          </w:tcPr>
          <w:p w14:paraId="40D4B1CC" w14:textId="77777777" w:rsidR="001062B6" w:rsidRDefault="001062B6" w:rsidP="000D0468"/>
        </w:tc>
        <w:tc>
          <w:tcPr>
            <w:tcW w:w="5755" w:type="dxa"/>
          </w:tcPr>
          <w:p w14:paraId="3AB5C576" w14:textId="77777777" w:rsidR="001062B6" w:rsidRDefault="001062B6" w:rsidP="000D0468">
            <w:r>
              <w:t>Denominator of Eligible Patients:</w:t>
            </w:r>
            <w:r>
              <w:br/>
            </w:r>
          </w:p>
          <w:p w14:paraId="37C9FFF5" w14:textId="12D2E19C" w:rsidR="008E1997" w:rsidRDefault="00D945DA" w:rsidP="008E1997">
            <w:r>
              <w:t xml:space="preserve">Nearly 12,000 Medicare beneficiaries, using the Medicare Shared Savings Program assigned beneficiary count as an estimate of patients served. </w:t>
            </w:r>
          </w:p>
          <w:p w14:paraId="6A651E59" w14:textId="77777777" w:rsidR="001062B6" w:rsidRDefault="001062B6" w:rsidP="000D0468"/>
          <w:p w14:paraId="444A3E68" w14:textId="77777777" w:rsidR="001062B6" w:rsidRDefault="001062B6" w:rsidP="000D0468"/>
        </w:tc>
      </w:tr>
      <w:tr w:rsidR="001062B6" w14:paraId="7731F847" w14:textId="77777777" w:rsidTr="000D0468">
        <w:trPr>
          <w:trHeight w:val="244"/>
        </w:trPr>
        <w:tc>
          <w:tcPr>
            <w:tcW w:w="3600" w:type="dxa"/>
          </w:tcPr>
          <w:p w14:paraId="5EE690B5" w14:textId="77777777" w:rsidR="001062B6" w:rsidRDefault="001062B6" w:rsidP="000D0468">
            <w:r w:rsidRPr="00F43692">
              <w:rPr>
                <w:b/>
              </w:rPr>
              <w:t>Pre-Post Analysis for Intervention</w:t>
            </w:r>
            <w:r>
              <w:t xml:space="preserve"> (optional)</w:t>
            </w:r>
          </w:p>
          <w:p w14:paraId="4E4A477F" w14:textId="77777777" w:rsidR="001062B6" w:rsidRPr="00F75178" w:rsidRDefault="001062B6" w:rsidP="000D0468">
            <w:pPr>
              <w:rPr>
                <w:i/>
              </w:rPr>
            </w:pPr>
            <w:r>
              <w:rPr>
                <w:i/>
                <w:sz w:val="20"/>
              </w:rPr>
              <w:t>If available, RPs may</w:t>
            </w:r>
            <w:r w:rsidRPr="000075DB">
              <w:rPr>
                <w:i/>
                <w:sz w:val="20"/>
              </w:rPr>
              <w:t xml:space="preserve"> submit a screenshot or other file format of the </w:t>
            </w:r>
            <w:r>
              <w:rPr>
                <w:i/>
                <w:sz w:val="20"/>
              </w:rPr>
              <w:t xml:space="preserve">Intervention’s </w:t>
            </w:r>
            <w:r w:rsidRPr="000075DB">
              <w:rPr>
                <w:i/>
                <w:sz w:val="20"/>
              </w:rPr>
              <w:t xml:space="preserve">Pre-Post Analysis. </w:t>
            </w:r>
          </w:p>
        </w:tc>
        <w:tc>
          <w:tcPr>
            <w:tcW w:w="5755" w:type="dxa"/>
          </w:tcPr>
          <w:p w14:paraId="12A5A184" w14:textId="3D9F339E" w:rsidR="001062B6" w:rsidRDefault="001062B6" w:rsidP="009B45D4">
            <w:r>
              <w:t xml:space="preserve">Planning to introduce pre-post analysis for care coordination services in </w:t>
            </w:r>
            <w:r w:rsidR="009B45D4">
              <w:t>FY 2019</w:t>
            </w:r>
            <w:r>
              <w:t xml:space="preserve">. </w:t>
            </w:r>
          </w:p>
        </w:tc>
      </w:tr>
      <w:tr w:rsidR="001062B6" w14:paraId="0916FE77" w14:textId="77777777" w:rsidTr="000D0468">
        <w:trPr>
          <w:trHeight w:val="244"/>
        </w:trPr>
        <w:tc>
          <w:tcPr>
            <w:tcW w:w="3600" w:type="dxa"/>
          </w:tcPr>
          <w:p w14:paraId="530EA5E4" w14:textId="77777777" w:rsidR="001062B6" w:rsidRPr="00F43692" w:rsidRDefault="001062B6" w:rsidP="000D0468">
            <w:pPr>
              <w:rPr>
                <w:b/>
              </w:rPr>
            </w:pPr>
            <w:r w:rsidRPr="00F43692">
              <w:rPr>
                <w:b/>
              </w:rPr>
              <w:t>Intervention-Specific Outcome or Process Measures</w:t>
            </w:r>
          </w:p>
          <w:p w14:paraId="73FEFD75" w14:textId="77777777" w:rsidR="001062B6" w:rsidRDefault="001062B6" w:rsidP="000D0468">
            <w:r>
              <w:t>(optional)</w:t>
            </w:r>
          </w:p>
          <w:p w14:paraId="184E6559" w14:textId="77777777" w:rsidR="001062B6" w:rsidRDefault="001062B6" w:rsidP="000D0468">
            <w:pPr>
              <w:rPr>
                <w:i/>
                <w:sz w:val="20"/>
              </w:rPr>
            </w:pPr>
            <w:r w:rsidRPr="000075DB">
              <w:rPr>
                <w:i/>
                <w:sz w:val="20"/>
              </w:rPr>
              <w:t>These are measures</w:t>
            </w:r>
            <w:r>
              <w:rPr>
                <w:i/>
                <w:sz w:val="20"/>
              </w:rPr>
              <w:t xml:space="preserve"> that may not have generic definitions across Partnerships or Interventions and </w:t>
            </w:r>
            <w:r w:rsidRPr="000075DB">
              <w:rPr>
                <w:i/>
                <w:sz w:val="20"/>
              </w:rPr>
              <w:t xml:space="preserve">that your </w:t>
            </w:r>
            <w:r>
              <w:rPr>
                <w:i/>
                <w:sz w:val="20"/>
              </w:rPr>
              <w:t>P</w:t>
            </w:r>
            <w:r w:rsidRPr="000075DB">
              <w:rPr>
                <w:i/>
                <w:sz w:val="20"/>
              </w:rPr>
              <w:t xml:space="preserve">artnership maintains and uses to analyze performance. </w:t>
            </w:r>
          </w:p>
          <w:p w14:paraId="1292B3EB" w14:textId="77777777" w:rsidR="001062B6" w:rsidRPr="000075DB" w:rsidRDefault="001062B6" w:rsidP="000D0468">
            <w:pPr>
              <w:rPr>
                <w:i/>
              </w:rPr>
            </w:pPr>
            <w:r w:rsidRPr="000075DB">
              <w:rPr>
                <w:i/>
                <w:sz w:val="20"/>
              </w:rPr>
              <w:t xml:space="preserve">Examples may include: Patient satisfaction; % of referred patients who received </w:t>
            </w:r>
            <w:r>
              <w:rPr>
                <w:i/>
                <w:sz w:val="20"/>
              </w:rPr>
              <w:t>I</w:t>
            </w:r>
            <w:r w:rsidRPr="000075DB">
              <w:rPr>
                <w:i/>
                <w:sz w:val="20"/>
              </w:rPr>
              <w:t>ntervention; operationalized care teams; etc.</w:t>
            </w:r>
          </w:p>
        </w:tc>
        <w:tc>
          <w:tcPr>
            <w:tcW w:w="5755" w:type="dxa"/>
          </w:tcPr>
          <w:p w14:paraId="0AF52058" w14:textId="77777777" w:rsidR="00D945DA" w:rsidRDefault="00D945DA" w:rsidP="000D0468">
            <w:r>
              <w:t xml:space="preserve">Process measures include: </w:t>
            </w:r>
          </w:p>
          <w:p w14:paraId="5FB08390" w14:textId="7A18FFFB" w:rsidR="00D945DA" w:rsidRDefault="008046F5" w:rsidP="00D945DA">
            <w:pPr>
              <w:pStyle w:val="ListParagraph"/>
              <w:numPr>
                <w:ilvl w:val="0"/>
                <w:numId w:val="14"/>
              </w:numPr>
            </w:pPr>
            <w:r>
              <w:t xml:space="preserve">A 29% reduction in gaps in care, per patient, since April 2018 closing a total of nearly 19,000 gaps in care for patients. </w:t>
            </w:r>
          </w:p>
          <w:p w14:paraId="5FCC2AFE" w14:textId="77777777" w:rsidR="00D945DA" w:rsidRDefault="00D945DA" w:rsidP="00D945DA">
            <w:pPr>
              <w:pStyle w:val="ListParagraph"/>
              <w:numPr>
                <w:ilvl w:val="0"/>
                <w:numId w:val="14"/>
              </w:numPr>
            </w:pPr>
            <w:r>
              <w:t>More than 10,000 transition of care calls were made by the care management team, which include medication reconciliation, follow-up appointment scheduling, etc.</w:t>
            </w:r>
          </w:p>
          <w:p w14:paraId="6F8B6B96" w14:textId="77777777" w:rsidR="00D945DA" w:rsidRDefault="00D945DA" w:rsidP="00D945DA">
            <w:pPr>
              <w:pStyle w:val="ListParagraph"/>
              <w:numPr>
                <w:ilvl w:val="0"/>
                <w:numId w:val="14"/>
              </w:numPr>
            </w:pPr>
            <w:r>
              <w:t>Successful bi-directional integration with CRISP where panels are submitted and ENS notifications are received daily for care team follow-up.</w:t>
            </w:r>
          </w:p>
          <w:p w14:paraId="210CF4C5" w14:textId="6B7EDD21" w:rsidR="003D0377" w:rsidRDefault="003D0377" w:rsidP="003D0377">
            <w:pPr>
              <w:pStyle w:val="ListParagraph"/>
              <w:numPr>
                <w:ilvl w:val="0"/>
                <w:numId w:val="14"/>
              </w:numPr>
            </w:pPr>
            <w:r>
              <w:lastRenderedPageBreak/>
              <w:t xml:space="preserve">In the inpatient setting, GBMC has experienced </w:t>
            </w:r>
            <w:r w:rsidRPr="0037407C">
              <w:t xml:space="preserve">a total of </w:t>
            </w:r>
            <w:r>
              <w:t xml:space="preserve">292 “Great Saves” in the </w:t>
            </w:r>
            <w:r w:rsidRPr="0037407C">
              <w:t xml:space="preserve">ED due to </w:t>
            </w:r>
            <w:r>
              <w:t>case management</w:t>
            </w:r>
            <w:r w:rsidRPr="0037407C">
              <w:t xml:space="preserve"> intervention.</w:t>
            </w:r>
          </w:p>
        </w:tc>
      </w:tr>
      <w:tr w:rsidR="001062B6" w14:paraId="7A05683F" w14:textId="77777777" w:rsidTr="000D0468">
        <w:trPr>
          <w:trHeight w:val="244"/>
        </w:trPr>
        <w:tc>
          <w:tcPr>
            <w:tcW w:w="3600" w:type="dxa"/>
          </w:tcPr>
          <w:p w14:paraId="522CC6FD" w14:textId="77777777" w:rsidR="001062B6" w:rsidRDefault="001062B6" w:rsidP="000D0468">
            <w:r>
              <w:rPr>
                <w:b/>
              </w:rPr>
              <w:lastRenderedPageBreak/>
              <w:t>Successes of the Intervention in FY 2018</w:t>
            </w:r>
          </w:p>
          <w:p w14:paraId="1ADAB4C0" w14:textId="77777777" w:rsidR="001062B6" w:rsidRPr="00F43692" w:rsidRDefault="001062B6" w:rsidP="000D0468">
            <w:pPr>
              <w:rPr>
                <w:i/>
              </w:rPr>
            </w:pPr>
            <w:r w:rsidRPr="00F43692">
              <w:rPr>
                <w:i/>
                <w:sz w:val="20"/>
              </w:rPr>
              <w:t>Free Response, up to 1 Paragraph</w:t>
            </w:r>
          </w:p>
        </w:tc>
        <w:tc>
          <w:tcPr>
            <w:tcW w:w="5755" w:type="dxa"/>
          </w:tcPr>
          <w:p w14:paraId="5354DF3F" w14:textId="23146B8C" w:rsidR="001062B6" w:rsidRDefault="00D97EFF" w:rsidP="00D97EFF">
            <w:r>
              <w:t>Successes in FY 2018 include: i</w:t>
            </w:r>
            <w:r w:rsidR="00654948">
              <w:t>mproved quality of care</w:t>
            </w:r>
            <w:r>
              <w:t xml:space="preserve"> as evidenced by an overall quality performance score of 94% in Medicare Shared Savings Program for performance year 2017</w:t>
            </w:r>
            <w:r w:rsidR="00654948">
              <w:t xml:space="preserve">; </w:t>
            </w:r>
            <w:r>
              <w:t>improved promotion of health and wellness as evidenced by demonstrated reductions in g</w:t>
            </w:r>
            <w:r w:rsidR="00654948">
              <w:t xml:space="preserve">aps in care; </w:t>
            </w:r>
            <w:r>
              <w:t xml:space="preserve">improved </w:t>
            </w:r>
            <w:r w:rsidR="00654948">
              <w:t xml:space="preserve">patient experience with </w:t>
            </w:r>
            <w:r>
              <w:t xml:space="preserve">expanded </w:t>
            </w:r>
            <w:r w:rsidR="00654948">
              <w:t>access</w:t>
            </w:r>
            <w:r>
              <w:t xml:space="preserve"> to primary care</w:t>
            </w:r>
            <w:r w:rsidR="00654948">
              <w:t xml:space="preserve"> (extended hours, 365 days a year); </w:t>
            </w:r>
            <w:r>
              <w:t xml:space="preserve">successful implementation of a </w:t>
            </w:r>
            <w:r w:rsidR="00654948">
              <w:t xml:space="preserve">telehealth </w:t>
            </w:r>
            <w:r>
              <w:t>pilot</w:t>
            </w:r>
            <w:r w:rsidR="00654948">
              <w:t xml:space="preserve">; </w:t>
            </w:r>
            <w:r>
              <w:t>and,</w:t>
            </w:r>
            <w:r w:rsidR="00654948">
              <w:t xml:space="preserve"> expanded diabetes education</w:t>
            </w:r>
            <w:r>
              <w:t>.</w:t>
            </w:r>
          </w:p>
        </w:tc>
      </w:tr>
      <w:tr w:rsidR="001062B6" w14:paraId="0F986A2D" w14:textId="77777777" w:rsidTr="000D0468">
        <w:trPr>
          <w:trHeight w:val="244"/>
        </w:trPr>
        <w:tc>
          <w:tcPr>
            <w:tcW w:w="3600" w:type="dxa"/>
          </w:tcPr>
          <w:p w14:paraId="3C7D3C76" w14:textId="77777777" w:rsidR="001062B6" w:rsidRDefault="001062B6" w:rsidP="000D0468">
            <w:r>
              <w:rPr>
                <w:b/>
              </w:rPr>
              <w:t>Lessons Learned from the Intervention in FY 2018</w:t>
            </w:r>
          </w:p>
          <w:p w14:paraId="2B855336" w14:textId="77777777" w:rsidR="001062B6" w:rsidRDefault="001062B6" w:rsidP="000D0468">
            <w:pPr>
              <w:rPr>
                <w:b/>
              </w:rPr>
            </w:pPr>
            <w:r w:rsidRPr="00F43692">
              <w:rPr>
                <w:i/>
                <w:sz w:val="20"/>
              </w:rPr>
              <w:t>Free Response, up to 1 Paragraph</w:t>
            </w:r>
          </w:p>
        </w:tc>
        <w:tc>
          <w:tcPr>
            <w:tcW w:w="5755" w:type="dxa"/>
          </w:tcPr>
          <w:p w14:paraId="34D5F803" w14:textId="396569BA" w:rsidR="001062B6" w:rsidRDefault="00D97EFF" w:rsidP="00D97EFF">
            <w:r>
              <w:t xml:space="preserve">Lessons learned in FY 2018 include: a need for increased attention of utilization metrics to ensure the total cost of care goals are met through, in part, GBMC’s advanced primary care; </w:t>
            </w:r>
            <w:r w:rsidR="00B40F65">
              <w:t xml:space="preserve">difficulty targeting </w:t>
            </w:r>
            <w:r>
              <w:t xml:space="preserve">specific sub-populations of </w:t>
            </w:r>
            <w:r w:rsidR="00B40F65">
              <w:t>patients</w:t>
            </w:r>
            <w:r>
              <w:t xml:space="preserve"> for varying levels of care management support</w:t>
            </w:r>
            <w:r w:rsidR="00B40F65">
              <w:t xml:space="preserve"> and tracking</w:t>
            </w:r>
            <w:r>
              <w:t xml:space="preserve"> their outcomes; need for more sophisticated data analytics; and, continued changes to the electronic medical record to support care management workflow enhancements.</w:t>
            </w:r>
          </w:p>
        </w:tc>
      </w:tr>
      <w:tr w:rsidR="001062B6" w14:paraId="61155AD5" w14:textId="77777777" w:rsidTr="000D0468">
        <w:trPr>
          <w:trHeight w:val="244"/>
        </w:trPr>
        <w:tc>
          <w:tcPr>
            <w:tcW w:w="3600" w:type="dxa"/>
          </w:tcPr>
          <w:p w14:paraId="652E0714" w14:textId="77777777" w:rsidR="001062B6" w:rsidRDefault="001062B6" w:rsidP="000D0468">
            <w:r>
              <w:rPr>
                <w:b/>
              </w:rPr>
              <w:t>Next Steps for the Intervention in FY 2019</w:t>
            </w:r>
          </w:p>
          <w:p w14:paraId="31D27617" w14:textId="77777777" w:rsidR="001062B6" w:rsidRDefault="001062B6" w:rsidP="000D0468">
            <w:pPr>
              <w:rPr>
                <w:b/>
              </w:rPr>
            </w:pPr>
            <w:r w:rsidRPr="00F43692">
              <w:rPr>
                <w:i/>
                <w:sz w:val="20"/>
              </w:rPr>
              <w:t>Free Response, up to 1 Paragraph</w:t>
            </w:r>
          </w:p>
        </w:tc>
        <w:tc>
          <w:tcPr>
            <w:tcW w:w="5755" w:type="dxa"/>
          </w:tcPr>
          <w:p w14:paraId="72091271" w14:textId="0DFEBD56" w:rsidR="001062B6" w:rsidRDefault="00D97EFF" w:rsidP="00D97EFF">
            <w:r>
              <w:t>Next steps in 2019 include: the i</w:t>
            </w:r>
            <w:r w:rsidR="00654948">
              <w:t>ntegration of social determinants of health</w:t>
            </w:r>
            <w:r>
              <w:t xml:space="preserve"> into patient care management interventions</w:t>
            </w:r>
            <w:r w:rsidR="00B40F65">
              <w:t xml:space="preserve">; </w:t>
            </w:r>
            <w:r>
              <w:t xml:space="preserve">enhanced </w:t>
            </w:r>
            <w:r w:rsidR="00B40F65">
              <w:t>predictive analytics</w:t>
            </w:r>
            <w:r>
              <w:t xml:space="preserve"> and patient targeting through the electronic medical record and corresponding workflow changes; renewed focus on high utilizing patient</w:t>
            </w:r>
            <w:r w:rsidR="00B40F65">
              <w:t xml:space="preserve">s; </w:t>
            </w:r>
            <w:r>
              <w:t>and, thoughtful alignment of the care management model with the new f</w:t>
            </w:r>
            <w:r w:rsidR="00B40F65">
              <w:t>ederal/state</w:t>
            </w:r>
            <w:r w:rsidR="00654948">
              <w:t xml:space="preserve"> </w:t>
            </w:r>
            <w:r w:rsidR="00B40F65">
              <w:t>total cost of care programs.</w:t>
            </w:r>
          </w:p>
        </w:tc>
      </w:tr>
      <w:tr w:rsidR="001062B6" w14:paraId="32259970" w14:textId="77777777" w:rsidTr="000D0468">
        <w:trPr>
          <w:trHeight w:val="649"/>
        </w:trPr>
        <w:tc>
          <w:tcPr>
            <w:tcW w:w="3600" w:type="dxa"/>
          </w:tcPr>
          <w:p w14:paraId="0B4A78DF" w14:textId="77777777" w:rsidR="001062B6" w:rsidRPr="00FB3E79" w:rsidRDefault="001062B6" w:rsidP="000D0468">
            <w:r>
              <w:rPr>
                <w:b/>
              </w:rPr>
              <w:t>Additional Free Response</w:t>
            </w:r>
            <w:r>
              <w:t xml:space="preserve"> (Optional)</w:t>
            </w:r>
          </w:p>
        </w:tc>
        <w:tc>
          <w:tcPr>
            <w:tcW w:w="5755" w:type="dxa"/>
          </w:tcPr>
          <w:p w14:paraId="430BAE2C" w14:textId="77777777" w:rsidR="001062B6" w:rsidRDefault="001062B6" w:rsidP="000D0468"/>
        </w:tc>
      </w:tr>
    </w:tbl>
    <w:p w14:paraId="21164347" w14:textId="77777777" w:rsidR="001062B6" w:rsidRDefault="001062B6" w:rsidP="00F43692"/>
    <w:p w14:paraId="2E6D962A" w14:textId="18808266" w:rsidR="005D1CC8" w:rsidRDefault="005D1CC8" w:rsidP="007B52B7">
      <w:pPr>
        <w:pStyle w:val="Heading1"/>
      </w:pPr>
      <w:r>
        <w:t>C</w:t>
      </w:r>
      <w:r w:rsidR="00047939">
        <w:t>ore</w:t>
      </w:r>
      <w:r>
        <w:t xml:space="preserve"> Measures</w:t>
      </w:r>
    </w:p>
    <w:p w14:paraId="3D269696" w14:textId="403CBDE5" w:rsidR="005D1CC8" w:rsidRPr="005D1CC8" w:rsidRDefault="005D1CC8" w:rsidP="005D1CC8">
      <w:r>
        <w:t>Please fill in this information with the latest available data from</w:t>
      </w:r>
      <w:r w:rsidR="00ED511D">
        <w:t xml:space="preserve"> the in t</w:t>
      </w:r>
      <w:r>
        <w:t>he CRS Portal</w:t>
      </w:r>
      <w:r w:rsidR="00ED511D">
        <w:t xml:space="preserve"> Tools for Regional Partnerships</w:t>
      </w:r>
      <w:r w:rsidR="00F43692">
        <w:t xml:space="preserve">. </w:t>
      </w:r>
      <w:r w:rsidR="008106A3">
        <w:t>For</w:t>
      </w:r>
      <w:r w:rsidR="00ED511D">
        <w:t xml:space="preserve"> each measure</w:t>
      </w:r>
      <w:r w:rsidR="008106A3">
        <w:t>, specific data sources are suggested for your use</w:t>
      </w:r>
      <w:r w:rsidR="00862326">
        <w:t>– the Executive Dashboard for Regional Partnerships, or the CY 2017 RP Analytic File</w:t>
      </w:r>
      <w:r w:rsidR="00B24A6C">
        <w:t xml:space="preserve"> (please specify which source you are </w:t>
      </w:r>
      <w:r w:rsidR="00FB3E79">
        <w:t>using for each of the outcome measures</w:t>
      </w:r>
      <w:r w:rsidR="00B24A6C">
        <w:t>)</w:t>
      </w:r>
      <w:r w:rsidR="00F43692">
        <w:t xml:space="preserve">. </w:t>
      </w:r>
    </w:p>
    <w:p w14:paraId="663510F9" w14:textId="4B83BA33" w:rsidR="0098710D" w:rsidRDefault="0098710D" w:rsidP="0073374D">
      <w:pPr>
        <w:pStyle w:val="Heading2"/>
      </w:pPr>
      <w:r>
        <w:lastRenderedPageBreak/>
        <w:t>Utilization</w:t>
      </w:r>
      <w:r w:rsidR="0073374D">
        <w:t xml:space="preserve"> Measures</w:t>
      </w:r>
    </w:p>
    <w:tbl>
      <w:tblPr>
        <w:tblStyle w:val="TableGridLight"/>
        <w:tblW w:w="9355" w:type="dxa"/>
        <w:tblCellMar>
          <w:top w:w="115" w:type="dxa"/>
          <w:left w:w="115" w:type="dxa"/>
          <w:bottom w:w="115" w:type="dxa"/>
          <w:right w:w="115" w:type="dxa"/>
        </w:tblCellMar>
        <w:tblLook w:val="04A0" w:firstRow="1" w:lastRow="0" w:firstColumn="1" w:lastColumn="0" w:noHBand="0" w:noVBand="1"/>
      </w:tblPr>
      <w:tblGrid>
        <w:gridCol w:w="1356"/>
        <w:gridCol w:w="1919"/>
        <w:gridCol w:w="6080"/>
      </w:tblGrid>
      <w:tr w:rsidR="00862326" w14:paraId="7E62F56E" w14:textId="3D05B1C5" w:rsidTr="00E54B91">
        <w:tc>
          <w:tcPr>
            <w:tcW w:w="1800" w:type="dxa"/>
            <w:vAlign w:val="center"/>
          </w:tcPr>
          <w:p w14:paraId="5BD1CB31" w14:textId="3803C3AF" w:rsidR="00862326" w:rsidRDefault="00862326" w:rsidP="00F06190">
            <w:r>
              <w:t>Measure in RFP</w:t>
            </w:r>
          </w:p>
          <w:p w14:paraId="73B9E282" w14:textId="50244467" w:rsidR="00862326" w:rsidRPr="00C643E8" w:rsidRDefault="00862326" w:rsidP="00E54B91">
            <w:pPr>
              <w:rPr>
                <w:i/>
              </w:rPr>
            </w:pPr>
            <w:r>
              <w:rPr>
                <w:i/>
                <w:sz w:val="20"/>
              </w:rPr>
              <w:t>(</w:t>
            </w:r>
            <w:r w:rsidR="00E54B91">
              <w:rPr>
                <w:i/>
                <w:sz w:val="20"/>
              </w:rPr>
              <w:t xml:space="preserve">Table 1, </w:t>
            </w:r>
            <w:r w:rsidRPr="00C643E8">
              <w:rPr>
                <w:i/>
                <w:sz w:val="20"/>
              </w:rPr>
              <w:t>Appendix A of the RFP</w:t>
            </w:r>
            <w:r>
              <w:rPr>
                <w:i/>
                <w:sz w:val="20"/>
              </w:rPr>
              <w:t>)</w:t>
            </w:r>
          </w:p>
        </w:tc>
        <w:tc>
          <w:tcPr>
            <w:tcW w:w="3235" w:type="dxa"/>
            <w:vAlign w:val="center"/>
          </w:tcPr>
          <w:p w14:paraId="3D339188" w14:textId="3D03D953" w:rsidR="00862326" w:rsidRPr="00C643E8" w:rsidRDefault="00862326" w:rsidP="00F06190">
            <w:pPr>
              <w:rPr>
                <w:b/>
              </w:rPr>
            </w:pPr>
            <w:r w:rsidRPr="00C643E8">
              <w:rPr>
                <w:b/>
              </w:rPr>
              <w:t>Measure for FY 2018 Reporting</w:t>
            </w:r>
          </w:p>
        </w:tc>
        <w:tc>
          <w:tcPr>
            <w:tcW w:w="4320" w:type="dxa"/>
            <w:vAlign w:val="center"/>
          </w:tcPr>
          <w:p w14:paraId="3DEF30F7" w14:textId="521248F4" w:rsidR="00862326" w:rsidRDefault="00862326" w:rsidP="00F06190">
            <w:pPr>
              <w:rPr>
                <w:b/>
              </w:rPr>
            </w:pPr>
            <w:r>
              <w:rPr>
                <w:b/>
              </w:rPr>
              <w:t>Outcomes(s)</w:t>
            </w:r>
          </w:p>
        </w:tc>
      </w:tr>
      <w:tr w:rsidR="00862326" w14:paraId="2C225B23" w14:textId="6E447486" w:rsidTr="00E54B91">
        <w:tc>
          <w:tcPr>
            <w:tcW w:w="1800" w:type="dxa"/>
          </w:tcPr>
          <w:p w14:paraId="7402BF1F" w14:textId="0E190189" w:rsidR="00862326" w:rsidRDefault="00862326" w:rsidP="00C643E8">
            <w:r>
              <w:t>Total Hospital Cost per capita</w:t>
            </w:r>
          </w:p>
        </w:tc>
        <w:tc>
          <w:tcPr>
            <w:tcW w:w="3235" w:type="dxa"/>
          </w:tcPr>
          <w:p w14:paraId="64D0519F" w14:textId="77777777" w:rsidR="00862326" w:rsidRDefault="00862326" w:rsidP="00C643E8">
            <w:pPr>
              <w:rPr>
                <w:b/>
              </w:rPr>
            </w:pPr>
            <w:r w:rsidRPr="00ED511D">
              <w:rPr>
                <w:b/>
              </w:rPr>
              <w:t>Partnership IP Charges per capita</w:t>
            </w:r>
          </w:p>
          <w:p w14:paraId="38773852" w14:textId="77777777" w:rsidR="00862326" w:rsidRPr="00862326" w:rsidRDefault="00862326" w:rsidP="00C643E8">
            <w:pPr>
              <w:rPr>
                <w:b/>
                <w:sz w:val="20"/>
              </w:rPr>
            </w:pPr>
          </w:p>
          <w:p w14:paraId="474B6A80" w14:textId="53BBCA0E" w:rsidR="00862326" w:rsidRPr="00862326" w:rsidRDefault="00862326" w:rsidP="00C643E8">
            <w:pPr>
              <w:rPr>
                <w:sz w:val="20"/>
              </w:rPr>
            </w:pPr>
            <w:r w:rsidRPr="00862326">
              <w:rPr>
                <w:sz w:val="20"/>
              </w:rPr>
              <w:t>Executive Dashboard:</w:t>
            </w:r>
          </w:p>
          <w:p w14:paraId="4FBE31EB" w14:textId="77777777" w:rsidR="00862326" w:rsidRPr="00862326" w:rsidRDefault="00862326" w:rsidP="00862326">
            <w:pPr>
              <w:rPr>
                <w:sz w:val="20"/>
              </w:rPr>
            </w:pPr>
            <w:r w:rsidRPr="00862326">
              <w:rPr>
                <w:sz w:val="20"/>
              </w:rPr>
              <w:t xml:space="preserve">‘Regional Partnership per Capita Utilization’ – </w:t>
            </w:r>
          </w:p>
          <w:p w14:paraId="33CEEC93" w14:textId="5B68A84C" w:rsidR="00862326" w:rsidRDefault="00862326" w:rsidP="00862326">
            <w:pPr>
              <w:rPr>
                <w:sz w:val="20"/>
              </w:rPr>
            </w:pPr>
            <w:r w:rsidRPr="00862326">
              <w:rPr>
                <w:sz w:val="20"/>
                <w:u w:val="single"/>
              </w:rPr>
              <w:t>Hospital Charges per Capita</w:t>
            </w:r>
            <w:r w:rsidRPr="00862326">
              <w:rPr>
                <w:sz w:val="20"/>
              </w:rPr>
              <w:t xml:space="preserve">, reported as average 12 months of </w:t>
            </w:r>
            <w:r w:rsidR="00B24A6C">
              <w:rPr>
                <w:sz w:val="20"/>
              </w:rPr>
              <w:t>CY 2017</w:t>
            </w:r>
          </w:p>
          <w:p w14:paraId="7AB60E18" w14:textId="77777777" w:rsidR="00862326" w:rsidRPr="00862326" w:rsidRDefault="00862326" w:rsidP="00862326">
            <w:pPr>
              <w:rPr>
                <w:sz w:val="20"/>
              </w:rPr>
            </w:pPr>
          </w:p>
          <w:p w14:paraId="245692FA" w14:textId="77777777" w:rsidR="00862326" w:rsidRDefault="00862326" w:rsidP="00862326">
            <w:pPr>
              <w:rPr>
                <w:sz w:val="20"/>
              </w:rPr>
            </w:pPr>
            <w:r w:rsidRPr="00862326">
              <w:rPr>
                <w:sz w:val="20"/>
              </w:rPr>
              <w:t>-or-</w:t>
            </w:r>
          </w:p>
          <w:p w14:paraId="1189D95B" w14:textId="77777777" w:rsidR="00862326" w:rsidRPr="00862326" w:rsidRDefault="00862326" w:rsidP="00862326">
            <w:pPr>
              <w:rPr>
                <w:sz w:val="20"/>
              </w:rPr>
            </w:pPr>
          </w:p>
          <w:p w14:paraId="7C6F415E" w14:textId="66434D05" w:rsidR="00862326" w:rsidRPr="00862326" w:rsidRDefault="00862326" w:rsidP="00862326">
            <w:pPr>
              <w:rPr>
                <w:sz w:val="20"/>
              </w:rPr>
            </w:pPr>
            <w:r w:rsidRPr="00862326">
              <w:rPr>
                <w:sz w:val="20"/>
              </w:rPr>
              <w:t>Analytic File:</w:t>
            </w:r>
          </w:p>
          <w:p w14:paraId="472627A5" w14:textId="77777777" w:rsidR="00862326" w:rsidRPr="00862326" w:rsidRDefault="00862326" w:rsidP="00862326">
            <w:pPr>
              <w:rPr>
                <w:sz w:val="20"/>
              </w:rPr>
            </w:pPr>
            <w:r w:rsidRPr="00862326">
              <w:rPr>
                <w:sz w:val="20"/>
              </w:rPr>
              <w:t>‘Charges’ over ‘Population’</w:t>
            </w:r>
          </w:p>
          <w:p w14:paraId="286B016C" w14:textId="1DCBB1E5" w:rsidR="00862326" w:rsidRPr="00862326" w:rsidRDefault="00862326" w:rsidP="00862326">
            <w:r w:rsidRPr="00862326">
              <w:rPr>
                <w:sz w:val="20"/>
              </w:rPr>
              <w:t>(Column E / Column C)</w:t>
            </w:r>
          </w:p>
        </w:tc>
        <w:tc>
          <w:tcPr>
            <w:tcW w:w="4320" w:type="dxa"/>
          </w:tcPr>
          <w:p w14:paraId="5751ED3F" w14:textId="0FEBDFA2" w:rsidR="000D0468" w:rsidRDefault="000D0468" w:rsidP="00862326">
            <w:r>
              <w:t>Using the CRISP Analytic file and instructions, please see below for this metric calculation:</w:t>
            </w:r>
          </w:p>
          <w:tbl>
            <w:tblPr>
              <w:tblW w:w="5780" w:type="dxa"/>
              <w:tblLook w:val="04A0" w:firstRow="1" w:lastRow="0" w:firstColumn="1" w:lastColumn="0" w:noHBand="0" w:noVBand="1"/>
            </w:tblPr>
            <w:tblGrid>
              <w:gridCol w:w="3924"/>
              <w:gridCol w:w="1856"/>
            </w:tblGrid>
            <w:tr w:rsidR="000D0468" w:rsidRPr="000D0468" w14:paraId="4FC9AF1C" w14:textId="77777777" w:rsidTr="00E1021E">
              <w:trPr>
                <w:trHeight w:val="2310"/>
              </w:trPr>
              <w:tc>
                <w:tcPr>
                  <w:tcW w:w="3924" w:type="dxa"/>
                  <w:tcBorders>
                    <w:top w:val="single" w:sz="4" w:space="0" w:color="auto"/>
                    <w:left w:val="single" w:sz="4" w:space="0" w:color="auto"/>
                    <w:bottom w:val="single" w:sz="4" w:space="0" w:color="auto"/>
                    <w:right w:val="nil"/>
                  </w:tcBorders>
                  <w:shd w:val="clear" w:color="000000" w:fill="auto"/>
                  <w:noWrap/>
                  <w:vAlign w:val="bottom"/>
                  <w:hideMark/>
                </w:tcPr>
                <w:p w14:paraId="049FCAA4" w14:textId="77777777" w:rsidR="000D0468" w:rsidRPr="000D0468" w:rsidRDefault="000D0468" w:rsidP="000D0468">
                  <w:pPr>
                    <w:spacing w:after="0" w:line="240" w:lineRule="auto"/>
                    <w:rPr>
                      <w:rFonts w:ascii="Calibri" w:eastAsia="Times New Roman" w:hAnsi="Calibri" w:cs="Times New Roman"/>
                      <w:b/>
                      <w:bCs/>
                      <w:color w:val="000000"/>
                      <w:u w:val="single"/>
                    </w:rPr>
                  </w:pPr>
                  <w:r w:rsidRPr="000D0468">
                    <w:rPr>
                      <w:rFonts w:ascii="Calibri" w:eastAsia="Times New Roman" w:hAnsi="Calibri" w:cs="Times New Roman"/>
                      <w:b/>
                      <w:bCs/>
                      <w:color w:val="000000"/>
                      <w:u w:val="single"/>
                    </w:rPr>
                    <w:t>GBMC</w:t>
                  </w:r>
                </w:p>
              </w:tc>
              <w:tc>
                <w:tcPr>
                  <w:tcW w:w="1856"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012DA96F" w14:textId="77777777" w:rsidR="000D0468" w:rsidRPr="000D0468" w:rsidRDefault="000D0468" w:rsidP="000D0468">
                  <w:pPr>
                    <w:spacing w:after="0" w:line="240" w:lineRule="auto"/>
                    <w:jc w:val="center"/>
                    <w:rPr>
                      <w:rFonts w:ascii="Arial" w:eastAsia="Times New Roman" w:hAnsi="Arial" w:cs="Arial"/>
                      <w:b/>
                      <w:bCs/>
                      <w:color w:val="0000FF"/>
                      <w:sz w:val="20"/>
                      <w:szCs w:val="20"/>
                    </w:rPr>
                  </w:pPr>
                  <w:r w:rsidRPr="000D0468">
                    <w:rPr>
                      <w:rFonts w:ascii="Arial" w:eastAsia="Times New Roman" w:hAnsi="Arial" w:cs="Arial"/>
                      <w:b/>
                      <w:bCs/>
                      <w:color w:val="0000FF"/>
                      <w:sz w:val="20"/>
                      <w:szCs w:val="20"/>
                    </w:rPr>
                    <w:t>Partnership IP Charges per capita</w:t>
                  </w:r>
                </w:p>
              </w:tc>
            </w:tr>
            <w:tr w:rsidR="000D0468" w:rsidRPr="000D0468" w14:paraId="113BF630" w14:textId="77777777" w:rsidTr="00E1021E">
              <w:trPr>
                <w:trHeight w:val="300"/>
              </w:trPr>
              <w:tc>
                <w:tcPr>
                  <w:tcW w:w="3924" w:type="dxa"/>
                  <w:tcBorders>
                    <w:top w:val="single" w:sz="4" w:space="0" w:color="auto"/>
                    <w:left w:val="single" w:sz="4" w:space="0" w:color="auto"/>
                    <w:bottom w:val="nil"/>
                    <w:right w:val="single" w:sz="4" w:space="0" w:color="auto"/>
                  </w:tcBorders>
                  <w:shd w:val="clear" w:color="000000" w:fill="FFFFFF"/>
                  <w:vAlign w:val="bottom"/>
                  <w:hideMark/>
                </w:tcPr>
                <w:p w14:paraId="074FB053" w14:textId="77777777" w:rsidR="000D0468" w:rsidRPr="000D0468" w:rsidRDefault="000D0468" w:rsidP="000D0468">
                  <w:pPr>
                    <w:spacing w:after="0" w:line="240" w:lineRule="auto"/>
                    <w:rPr>
                      <w:rFonts w:ascii="Arial" w:eastAsia="Times New Roman" w:hAnsi="Arial" w:cs="Arial"/>
                      <w:b/>
                      <w:bCs/>
                      <w:color w:val="000000"/>
                      <w:sz w:val="20"/>
                      <w:szCs w:val="20"/>
                      <w:u w:val="single"/>
                    </w:rPr>
                  </w:pPr>
                  <w:r w:rsidRPr="000D0468">
                    <w:rPr>
                      <w:rFonts w:ascii="Arial" w:eastAsia="Times New Roman" w:hAnsi="Arial" w:cs="Arial"/>
                      <w:b/>
                      <w:bCs/>
                      <w:color w:val="000000"/>
                      <w:sz w:val="20"/>
                      <w:szCs w:val="20"/>
                      <w:u w:val="single"/>
                    </w:rPr>
                    <w:t>Metrics</w:t>
                  </w:r>
                </w:p>
              </w:tc>
              <w:tc>
                <w:tcPr>
                  <w:tcW w:w="1856" w:type="dxa"/>
                  <w:tcBorders>
                    <w:top w:val="nil"/>
                    <w:left w:val="nil"/>
                    <w:bottom w:val="nil"/>
                    <w:right w:val="nil"/>
                  </w:tcBorders>
                  <w:shd w:val="clear" w:color="000000" w:fill="auto"/>
                  <w:noWrap/>
                  <w:vAlign w:val="bottom"/>
                  <w:hideMark/>
                </w:tcPr>
                <w:p w14:paraId="172C155B" w14:textId="77777777" w:rsidR="000D0468" w:rsidRPr="000D0468" w:rsidRDefault="000D0468" w:rsidP="000D0468">
                  <w:pPr>
                    <w:spacing w:after="0" w:line="240" w:lineRule="auto"/>
                    <w:rPr>
                      <w:rFonts w:ascii="Arial" w:eastAsia="Times New Roman" w:hAnsi="Arial" w:cs="Arial"/>
                      <w:b/>
                      <w:bCs/>
                      <w:color w:val="000000"/>
                      <w:sz w:val="20"/>
                      <w:szCs w:val="20"/>
                      <w:u w:val="single"/>
                    </w:rPr>
                  </w:pPr>
                </w:p>
              </w:tc>
            </w:tr>
            <w:tr w:rsidR="000D0468" w:rsidRPr="000D0468" w14:paraId="3C4975A0" w14:textId="77777777" w:rsidTr="00E1021E">
              <w:trPr>
                <w:trHeight w:val="300"/>
              </w:trPr>
              <w:tc>
                <w:tcPr>
                  <w:tcW w:w="392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056C5" w14:textId="77777777" w:rsidR="000D0468" w:rsidRPr="000D0468" w:rsidRDefault="000D0468" w:rsidP="000D0468">
                  <w:pPr>
                    <w:spacing w:after="0" w:line="240" w:lineRule="auto"/>
                    <w:rPr>
                      <w:rFonts w:ascii="Arial" w:eastAsia="Times New Roman" w:hAnsi="Arial" w:cs="Arial"/>
                      <w:color w:val="000000"/>
                      <w:sz w:val="20"/>
                      <w:szCs w:val="20"/>
                    </w:rPr>
                  </w:pPr>
                  <w:r w:rsidRPr="000D0468">
                    <w:rPr>
                      <w:rFonts w:ascii="Arial" w:eastAsia="Times New Roman" w:hAnsi="Arial" w:cs="Arial"/>
                      <w:color w:val="000000"/>
                      <w:sz w:val="20"/>
                      <w:szCs w:val="20"/>
                    </w:rPr>
                    <w:t>2+ Chronic Conditions and Medicare FFS</w:t>
                  </w:r>
                </w:p>
              </w:tc>
              <w:tc>
                <w:tcPr>
                  <w:tcW w:w="1856" w:type="dxa"/>
                  <w:tcBorders>
                    <w:top w:val="single" w:sz="4" w:space="0" w:color="auto"/>
                    <w:left w:val="nil"/>
                    <w:bottom w:val="single" w:sz="4" w:space="0" w:color="auto"/>
                    <w:right w:val="single" w:sz="4" w:space="0" w:color="auto"/>
                  </w:tcBorders>
                  <w:shd w:val="clear" w:color="000000" w:fill="auto"/>
                  <w:noWrap/>
                  <w:vAlign w:val="bottom"/>
                  <w:hideMark/>
                </w:tcPr>
                <w:p w14:paraId="3EED9A69" w14:textId="77777777" w:rsidR="000D0468" w:rsidRPr="000D0468" w:rsidRDefault="000D0468" w:rsidP="000D0468">
                  <w:pPr>
                    <w:spacing w:after="0" w:line="240" w:lineRule="auto"/>
                    <w:jc w:val="center"/>
                    <w:rPr>
                      <w:rFonts w:ascii="Calibri" w:eastAsia="Times New Roman" w:hAnsi="Calibri" w:cs="Times New Roman"/>
                      <w:color w:val="000000"/>
                    </w:rPr>
                  </w:pPr>
                  <w:r w:rsidRPr="000D0468">
                    <w:rPr>
                      <w:rFonts w:ascii="Calibri" w:eastAsia="Times New Roman" w:hAnsi="Calibri" w:cs="Times New Roman"/>
                      <w:color w:val="000000"/>
                    </w:rPr>
                    <w:t xml:space="preserve"> $             7,575.01 </w:t>
                  </w:r>
                </w:p>
              </w:tc>
            </w:tr>
            <w:tr w:rsidR="000D0468" w:rsidRPr="000D0468" w14:paraId="328501D8" w14:textId="77777777" w:rsidTr="00E1021E">
              <w:trPr>
                <w:trHeight w:val="300"/>
              </w:trPr>
              <w:tc>
                <w:tcPr>
                  <w:tcW w:w="3924" w:type="dxa"/>
                  <w:tcBorders>
                    <w:top w:val="nil"/>
                    <w:left w:val="single" w:sz="4" w:space="0" w:color="auto"/>
                    <w:bottom w:val="single" w:sz="4" w:space="0" w:color="auto"/>
                    <w:right w:val="single" w:sz="4" w:space="0" w:color="auto"/>
                  </w:tcBorders>
                  <w:shd w:val="clear" w:color="000000" w:fill="FFFFFF"/>
                  <w:vAlign w:val="bottom"/>
                  <w:hideMark/>
                </w:tcPr>
                <w:p w14:paraId="69325FE7" w14:textId="77777777" w:rsidR="000D0468" w:rsidRPr="000D0468" w:rsidRDefault="000D0468" w:rsidP="000D0468">
                  <w:pPr>
                    <w:spacing w:after="0" w:line="240" w:lineRule="auto"/>
                    <w:rPr>
                      <w:rFonts w:ascii="Arial" w:eastAsia="Times New Roman" w:hAnsi="Arial" w:cs="Arial"/>
                      <w:color w:val="000000"/>
                      <w:sz w:val="20"/>
                      <w:szCs w:val="20"/>
                    </w:rPr>
                  </w:pPr>
                  <w:r w:rsidRPr="000D0468">
                    <w:rPr>
                      <w:rFonts w:ascii="Arial" w:eastAsia="Times New Roman" w:hAnsi="Arial" w:cs="Arial"/>
                      <w:color w:val="000000"/>
                      <w:sz w:val="20"/>
                      <w:szCs w:val="20"/>
                    </w:rPr>
                    <w:t>2+ IP or Obs&gt;=24 or ED Visits</w:t>
                  </w:r>
                </w:p>
              </w:tc>
              <w:tc>
                <w:tcPr>
                  <w:tcW w:w="1856" w:type="dxa"/>
                  <w:tcBorders>
                    <w:top w:val="nil"/>
                    <w:left w:val="nil"/>
                    <w:bottom w:val="single" w:sz="4" w:space="0" w:color="auto"/>
                    <w:right w:val="single" w:sz="4" w:space="0" w:color="auto"/>
                  </w:tcBorders>
                  <w:shd w:val="clear" w:color="000000" w:fill="auto"/>
                  <w:noWrap/>
                  <w:vAlign w:val="bottom"/>
                  <w:hideMark/>
                </w:tcPr>
                <w:p w14:paraId="4C960685" w14:textId="77777777" w:rsidR="000D0468" w:rsidRPr="000D0468" w:rsidRDefault="000D0468" w:rsidP="000D0468">
                  <w:pPr>
                    <w:spacing w:after="0" w:line="240" w:lineRule="auto"/>
                    <w:jc w:val="center"/>
                    <w:rPr>
                      <w:rFonts w:ascii="Calibri" w:eastAsia="Times New Roman" w:hAnsi="Calibri" w:cs="Times New Roman"/>
                      <w:color w:val="000000"/>
                    </w:rPr>
                  </w:pPr>
                  <w:r w:rsidRPr="000D0468">
                    <w:rPr>
                      <w:rFonts w:ascii="Calibri" w:eastAsia="Times New Roman" w:hAnsi="Calibri" w:cs="Times New Roman"/>
                      <w:color w:val="000000"/>
                    </w:rPr>
                    <w:t xml:space="preserve"> $             2,393.50 </w:t>
                  </w:r>
                </w:p>
              </w:tc>
            </w:tr>
            <w:tr w:rsidR="000D0468" w:rsidRPr="000D0468" w14:paraId="788E2A03" w14:textId="77777777" w:rsidTr="00E1021E">
              <w:trPr>
                <w:trHeight w:val="330"/>
              </w:trPr>
              <w:tc>
                <w:tcPr>
                  <w:tcW w:w="3924" w:type="dxa"/>
                  <w:tcBorders>
                    <w:top w:val="nil"/>
                    <w:left w:val="single" w:sz="4" w:space="0" w:color="auto"/>
                    <w:bottom w:val="single" w:sz="4" w:space="0" w:color="auto"/>
                    <w:right w:val="single" w:sz="4" w:space="0" w:color="auto"/>
                  </w:tcBorders>
                  <w:shd w:val="clear" w:color="000000" w:fill="FFFFFF"/>
                  <w:vAlign w:val="bottom"/>
                  <w:hideMark/>
                </w:tcPr>
                <w:p w14:paraId="33A49A08" w14:textId="77777777" w:rsidR="000D0468" w:rsidRPr="000D0468" w:rsidRDefault="000D0468" w:rsidP="000D0468">
                  <w:pPr>
                    <w:spacing w:after="0" w:line="240" w:lineRule="auto"/>
                    <w:rPr>
                      <w:rFonts w:ascii="Arial" w:eastAsia="Times New Roman" w:hAnsi="Arial" w:cs="Arial"/>
                      <w:color w:val="000000"/>
                      <w:sz w:val="20"/>
                      <w:szCs w:val="20"/>
                    </w:rPr>
                  </w:pPr>
                  <w:r w:rsidRPr="000D0468">
                    <w:rPr>
                      <w:rFonts w:ascii="Arial" w:eastAsia="Times New Roman" w:hAnsi="Arial" w:cs="Arial"/>
                      <w:color w:val="000000"/>
                      <w:sz w:val="20"/>
                      <w:szCs w:val="20"/>
                    </w:rPr>
                    <w:t>2+ IP or Obs&gt;=24 or ED Visits Medicare FFS</w:t>
                  </w:r>
                </w:p>
              </w:tc>
              <w:tc>
                <w:tcPr>
                  <w:tcW w:w="1856" w:type="dxa"/>
                  <w:tcBorders>
                    <w:top w:val="nil"/>
                    <w:left w:val="nil"/>
                    <w:bottom w:val="single" w:sz="4" w:space="0" w:color="auto"/>
                    <w:right w:val="single" w:sz="4" w:space="0" w:color="auto"/>
                  </w:tcBorders>
                  <w:shd w:val="clear" w:color="000000" w:fill="auto"/>
                  <w:noWrap/>
                  <w:vAlign w:val="bottom"/>
                  <w:hideMark/>
                </w:tcPr>
                <w:p w14:paraId="4CB5E139" w14:textId="77777777" w:rsidR="000D0468" w:rsidRPr="000D0468" w:rsidRDefault="000D0468" w:rsidP="000D0468">
                  <w:pPr>
                    <w:spacing w:after="0" w:line="240" w:lineRule="auto"/>
                    <w:jc w:val="center"/>
                    <w:rPr>
                      <w:rFonts w:ascii="Calibri" w:eastAsia="Times New Roman" w:hAnsi="Calibri" w:cs="Times New Roman"/>
                      <w:color w:val="000000"/>
                    </w:rPr>
                  </w:pPr>
                  <w:r w:rsidRPr="000D0468">
                    <w:rPr>
                      <w:rFonts w:ascii="Calibri" w:eastAsia="Times New Roman" w:hAnsi="Calibri" w:cs="Times New Roman"/>
                      <w:color w:val="000000"/>
                    </w:rPr>
                    <w:t xml:space="preserve"> $             5,365.04 </w:t>
                  </w:r>
                </w:p>
              </w:tc>
            </w:tr>
            <w:tr w:rsidR="000D0468" w:rsidRPr="000D0468" w14:paraId="663F8A1E" w14:textId="77777777" w:rsidTr="00E1021E">
              <w:trPr>
                <w:trHeight w:val="300"/>
              </w:trPr>
              <w:tc>
                <w:tcPr>
                  <w:tcW w:w="3924" w:type="dxa"/>
                  <w:tcBorders>
                    <w:top w:val="nil"/>
                    <w:left w:val="single" w:sz="4" w:space="0" w:color="auto"/>
                    <w:bottom w:val="single" w:sz="4" w:space="0" w:color="auto"/>
                    <w:right w:val="single" w:sz="4" w:space="0" w:color="auto"/>
                  </w:tcBorders>
                  <w:shd w:val="clear" w:color="000000" w:fill="FFFFFF"/>
                  <w:vAlign w:val="bottom"/>
                  <w:hideMark/>
                </w:tcPr>
                <w:p w14:paraId="00EE9AEC" w14:textId="77777777" w:rsidR="000D0468" w:rsidRPr="000D0468" w:rsidRDefault="000D0468" w:rsidP="000D0468">
                  <w:pPr>
                    <w:spacing w:after="0" w:line="240" w:lineRule="auto"/>
                    <w:rPr>
                      <w:rFonts w:ascii="Arial" w:eastAsia="Times New Roman" w:hAnsi="Arial" w:cs="Arial"/>
                      <w:color w:val="000000"/>
                      <w:sz w:val="20"/>
                      <w:szCs w:val="20"/>
                    </w:rPr>
                  </w:pPr>
                  <w:r w:rsidRPr="000D0468">
                    <w:rPr>
                      <w:rFonts w:ascii="Arial" w:eastAsia="Times New Roman" w:hAnsi="Arial" w:cs="Arial"/>
                      <w:color w:val="000000"/>
                      <w:sz w:val="20"/>
                      <w:szCs w:val="20"/>
                    </w:rPr>
                    <w:t>3+ IP or Obs&gt;=24 Visits</w:t>
                  </w:r>
                </w:p>
              </w:tc>
              <w:tc>
                <w:tcPr>
                  <w:tcW w:w="1856" w:type="dxa"/>
                  <w:tcBorders>
                    <w:top w:val="nil"/>
                    <w:left w:val="nil"/>
                    <w:bottom w:val="single" w:sz="4" w:space="0" w:color="auto"/>
                    <w:right w:val="single" w:sz="4" w:space="0" w:color="auto"/>
                  </w:tcBorders>
                  <w:shd w:val="clear" w:color="000000" w:fill="auto"/>
                  <w:noWrap/>
                  <w:vAlign w:val="bottom"/>
                  <w:hideMark/>
                </w:tcPr>
                <w:p w14:paraId="5CB9FD84" w14:textId="77777777" w:rsidR="000D0468" w:rsidRPr="000D0468" w:rsidRDefault="000D0468" w:rsidP="000D0468">
                  <w:pPr>
                    <w:spacing w:after="0" w:line="240" w:lineRule="auto"/>
                    <w:jc w:val="center"/>
                    <w:rPr>
                      <w:rFonts w:ascii="Calibri" w:eastAsia="Times New Roman" w:hAnsi="Calibri" w:cs="Times New Roman"/>
                      <w:color w:val="000000"/>
                    </w:rPr>
                  </w:pPr>
                  <w:r w:rsidRPr="000D0468">
                    <w:rPr>
                      <w:rFonts w:ascii="Calibri" w:eastAsia="Times New Roman" w:hAnsi="Calibri" w:cs="Times New Roman"/>
                      <w:color w:val="000000"/>
                    </w:rPr>
                    <w:t xml:space="preserve"> $             1,003.05 </w:t>
                  </w:r>
                </w:p>
              </w:tc>
            </w:tr>
            <w:tr w:rsidR="000D0468" w:rsidRPr="000D0468" w14:paraId="2D910103" w14:textId="77777777" w:rsidTr="00E1021E">
              <w:trPr>
                <w:trHeight w:val="300"/>
              </w:trPr>
              <w:tc>
                <w:tcPr>
                  <w:tcW w:w="3924" w:type="dxa"/>
                  <w:tcBorders>
                    <w:top w:val="nil"/>
                    <w:left w:val="single" w:sz="4" w:space="0" w:color="auto"/>
                    <w:bottom w:val="single" w:sz="4" w:space="0" w:color="auto"/>
                    <w:right w:val="single" w:sz="4" w:space="0" w:color="auto"/>
                  </w:tcBorders>
                  <w:shd w:val="clear" w:color="000000" w:fill="FFFFFF"/>
                  <w:vAlign w:val="bottom"/>
                  <w:hideMark/>
                </w:tcPr>
                <w:p w14:paraId="2EA28C0C" w14:textId="77777777" w:rsidR="000D0468" w:rsidRPr="000D0468" w:rsidRDefault="000D0468" w:rsidP="000D0468">
                  <w:pPr>
                    <w:spacing w:after="0" w:line="240" w:lineRule="auto"/>
                    <w:rPr>
                      <w:rFonts w:ascii="Arial" w:eastAsia="Times New Roman" w:hAnsi="Arial" w:cs="Arial"/>
                      <w:color w:val="000000"/>
                      <w:sz w:val="20"/>
                      <w:szCs w:val="20"/>
                    </w:rPr>
                  </w:pPr>
                  <w:r w:rsidRPr="000D0468">
                    <w:rPr>
                      <w:rFonts w:ascii="Arial" w:eastAsia="Times New Roman" w:hAnsi="Arial" w:cs="Arial"/>
                      <w:color w:val="000000"/>
                      <w:sz w:val="20"/>
                      <w:szCs w:val="20"/>
                    </w:rPr>
                    <w:t>3+ IP or Obs&gt;=24 Visits Medicare FFS</w:t>
                  </w:r>
                </w:p>
              </w:tc>
              <w:tc>
                <w:tcPr>
                  <w:tcW w:w="1856" w:type="dxa"/>
                  <w:tcBorders>
                    <w:top w:val="nil"/>
                    <w:left w:val="nil"/>
                    <w:bottom w:val="single" w:sz="4" w:space="0" w:color="auto"/>
                    <w:right w:val="single" w:sz="4" w:space="0" w:color="auto"/>
                  </w:tcBorders>
                  <w:shd w:val="clear" w:color="000000" w:fill="auto"/>
                  <w:noWrap/>
                  <w:vAlign w:val="bottom"/>
                  <w:hideMark/>
                </w:tcPr>
                <w:p w14:paraId="2CE37876" w14:textId="77777777" w:rsidR="000D0468" w:rsidRPr="000D0468" w:rsidRDefault="000D0468" w:rsidP="000D0468">
                  <w:pPr>
                    <w:spacing w:after="0" w:line="240" w:lineRule="auto"/>
                    <w:jc w:val="center"/>
                    <w:rPr>
                      <w:rFonts w:ascii="Calibri" w:eastAsia="Times New Roman" w:hAnsi="Calibri" w:cs="Times New Roman"/>
                      <w:color w:val="000000"/>
                    </w:rPr>
                  </w:pPr>
                  <w:r w:rsidRPr="000D0468">
                    <w:rPr>
                      <w:rFonts w:ascii="Calibri" w:eastAsia="Times New Roman" w:hAnsi="Calibri" w:cs="Times New Roman"/>
                      <w:color w:val="000000"/>
                    </w:rPr>
                    <w:t xml:space="preserve"> $             2,595.87 </w:t>
                  </w:r>
                </w:p>
              </w:tc>
            </w:tr>
            <w:tr w:rsidR="000D0468" w:rsidRPr="000D0468" w14:paraId="19A6C15E" w14:textId="77777777" w:rsidTr="00E1021E">
              <w:trPr>
                <w:trHeight w:val="300"/>
              </w:trPr>
              <w:tc>
                <w:tcPr>
                  <w:tcW w:w="3924" w:type="dxa"/>
                  <w:tcBorders>
                    <w:top w:val="nil"/>
                    <w:left w:val="single" w:sz="4" w:space="0" w:color="auto"/>
                    <w:bottom w:val="single" w:sz="4" w:space="0" w:color="auto"/>
                    <w:right w:val="single" w:sz="4" w:space="0" w:color="auto"/>
                  </w:tcBorders>
                  <w:shd w:val="clear" w:color="000000" w:fill="FFFFFF"/>
                  <w:vAlign w:val="bottom"/>
                  <w:hideMark/>
                </w:tcPr>
                <w:p w14:paraId="2EE0A822" w14:textId="77777777" w:rsidR="000D0468" w:rsidRPr="000D0468" w:rsidRDefault="000D0468" w:rsidP="000D0468">
                  <w:pPr>
                    <w:spacing w:after="0" w:line="240" w:lineRule="auto"/>
                    <w:rPr>
                      <w:rFonts w:ascii="Arial" w:eastAsia="Times New Roman" w:hAnsi="Arial" w:cs="Arial"/>
                      <w:color w:val="000000"/>
                      <w:sz w:val="20"/>
                      <w:szCs w:val="20"/>
                    </w:rPr>
                  </w:pPr>
                  <w:r w:rsidRPr="000D0468">
                    <w:rPr>
                      <w:rFonts w:ascii="Arial" w:eastAsia="Times New Roman" w:hAnsi="Arial" w:cs="Arial"/>
                      <w:color w:val="000000"/>
                      <w:sz w:val="20"/>
                      <w:szCs w:val="20"/>
                    </w:rPr>
                    <w:t>All Payer</w:t>
                  </w:r>
                </w:p>
              </w:tc>
              <w:tc>
                <w:tcPr>
                  <w:tcW w:w="1856" w:type="dxa"/>
                  <w:tcBorders>
                    <w:top w:val="nil"/>
                    <w:left w:val="nil"/>
                    <w:bottom w:val="single" w:sz="4" w:space="0" w:color="auto"/>
                    <w:right w:val="single" w:sz="4" w:space="0" w:color="auto"/>
                  </w:tcBorders>
                  <w:shd w:val="clear" w:color="000000" w:fill="auto"/>
                  <w:noWrap/>
                  <w:vAlign w:val="bottom"/>
                  <w:hideMark/>
                </w:tcPr>
                <w:p w14:paraId="7B9EE43C" w14:textId="77777777" w:rsidR="000D0468" w:rsidRPr="000D0468" w:rsidRDefault="000D0468" w:rsidP="000D0468">
                  <w:pPr>
                    <w:spacing w:after="0" w:line="240" w:lineRule="auto"/>
                    <w:jc w:val="center"/>
                    <w:rPr>
                      <w:rFonts w:ascii="Calibri" w:eastAsia="Times New Roman" w:hAnsi="Calibri" w:cs="Times New Roman"/>
                      <w:color w:val="000000"/>
                    </w:rPr>
                  </w:pPr>
                  <w:r w:rsidRPr="000D0468">
                    <w:rPr>
                      <w:rFonts w:ascii="Calibri" w:eastAsia="Times New Roman" w:hAnsi="Calibri" w:cs="Times New Roman"/>
                      <w:color w:val="000000"/>
                    </w:rPr>
                    <w:t xml:space="preserve"> $             3,950.55 </w:t>
                  </w:r>
                </w:p>
              </w:tc>
            </w:tr>
            <w:tr w:rsidR="000D0468" w:rsidRPr="000D0468" w14:paraId="5298327A" w14:textId="77777777" w:rsidTr="00E1021E">
              <w:trPr>
                <w:trHeight w:val="300"/>
              </w:trPr>
              <w:tc>
                <w:tcPr>
                  <w:tcW w:w="3924" w:type="dxa"/>
                  <w:tcBorders>
                    <w:top w:val="nil"/>
                    <w:left w:val="single" w:sz="4" w:space="0" w:color="auto"/>
                    <w:bottom w:val="single" w:sz="4" w:space="0" w:color="auto"/>
                    <w:right w:val="single" w:sz="4" w:space="0" w:color="auto"/>
                  </w:tcBorders>
                  <w:shd w:val="clear" w:color="000000" w:fill="FFFFFF"/>
                  <w:vAlign w:val="bottom"/>
                  <w:hideMark/>
                </w:tcPr>
                <w:p w14:paraId="2D54F875" w14:textId="77777777" w:rsidR="000D0468" w:rsidRPr="000D0468" w:rsidRDefault="000D0468" w:rsidP="000D0468">
                  <w:pPr>
                    <w:spacing w:after="0" w:line="240" w:lineRule="auto"/>
                    <w:rPr>
                      <w:rFonts w:ascii="Arial" w:eastAsia="Times New Roman" w:hAnsi="Arial" w:cs="Arial"/>
                      <w:color w:val="000000"/>
                      <w:sz w:val="20"/>
                      <w:szCs w:val="20"/>
                    </w:rPr>
                  </w:pPr>
                  <w:r w:rsidRPr="000D0468">
                    <w:rPr>
                      <w:rFonts w:ascii="Arial" w:eastAsia="Times New Roman" w:hAnsi="Arial" w:cs="Arial"/>
                      <w:color w:val="000000"/>
                      <w:sz w:val="20"/>
                      <w:szCs w:val="20"/>
                    </w:rPr>
                    <w:t>Medicare FFS</w:t>
                  </w:r>
                </w:p>
              </w:tc>
              <w:tc>
                <w:tcPr>
                  <w:tcW w:w="1856" w:type="dxa"/>
                  <w:tcBorders>
                    <w:top w:val="nil"/>
                    <w:left w:val="nil"/>
                    <w:bottom w:val="single" w:sz="4" w:space="0" w:color="auto"/>
                    <w:right w:val="single" w:sz="4" w:space="0" w:color="auto"/>
                  </w:tcBorders>
                  <w:shd w:val="clear" w:color="000000" w:fill="auto"/>
                  <w:noWrap/>
                  <w:vAlign w:val="bottom"/>
                  <w:hideMark/>
                </w:tcPr>
                <w:p w14:paraId="2FCC7B05" w14:textId="77777777" w:rsidR="000D0468" w:rsidRPr="000D0468" w:rsidRDefault="000D0468" w:rsidP="000D0468">
                  <w:pPr>
                    <w:spacing w:after="0" w:line="240" w:lineRule="auto"/>
                    <w:jc w:val="center"/>
                    <w:rPr>
                      <w:rFonts w:ascii="Calibri" w:eastAsia="Times New Roman" w:hAnsi="Calibri" w:cs="Times New Roman"/>
                      <w:color w:val="000000"/>
                    </w:rPr>
                  </w:pPr>
                  <w:r w:rsidRPr="000D0468">
                    <w:rPr>
                      <w:rFonts w:ascii="Calibri" w:eastAsia="Times New Roman" w:hAnsi="Calibri" w:cs="Times New Roman"/>
                      <w:color w:val="000000"/>
                    </w:rPr>
                    <w:t xml:space="preserve"> $             8,377.07 </w:t>
                  </w:r>
                </w:p>
              </w:tc>
            </w:tr>
            <w:tr w:rsidR="000D0468" w:rsidRPr="000D0468" w14:paraId="5E252ADC" w14:textId="77777777" w:rsidTr="00E1021E">
              <w:trPr>
                <w:trHeight w:val="300"/>
              </w:trPr>
              <w:tc>
                <w:tcPr>
                  <w:tcW w:w="3924" w:type="dxa"/>
                  <w:tcBorders>
                    <w:top w:val="nil"/>
                    <w:left w:val="nil"/>
                    <w:bottom w:val="nil"/>
                    <w:right w:val="nil"/>
                  </w:tcBorders>
                  <w:shd w:val="clear" w:color="000000" w:fill="auto"/>
                  <w:noWrap/>
                  <w:vAlign w:val="bottom"/>
                  <w:hideMark/>
                </w:tcPr>
                <w:p w14:paraId="33D54CFC" w14:textId="77777777" w:rsidR="000D0468" w:rsidRPr="000D0468" w:rsidRDefault="000D0468" w:rsidP="000D0468">
                  <w:pPr>
                    <w:spacing w:after="0" w:line="240" w:lineRule="auto"/>
                    <w:jc w:val="center"/>
                    <w:rPr>
                      <w:rFonts w:ascii="Calibri" w:eastAsia="Times New Roman" w:hAnsi="Calibri" w:cs="Times New Roman"/>
                      <w:color w:val="000000"/>
                    </w:rPr>
                  </w:pPr>
                </w:p>
              </w:tc>
              <w:tc>
                <w:tcPr>
                  <w:tcW w:w="1856" w:type="dxa"/>
                  <w:tcBorders>
                    <w:top w:val="nil"/>
                    <w:left w:val="nil"/>
                    <w:bottom w:val="nil"/>
                    <w:right w:val="nil"/>
                  </w:tcBorders>
                  <w:shd w:val="clear" w:color="000000" w:fill="auto"/>
                  <w:noWrap/>
                  <w:vAlign w:val="bottom"/>
                  <w:hideMark/>
                </w:tcPr>
                <w:p w14:paraId="18F73126" w14:textId="77777777" w:rsidR="000D0468" w:rsidRPr="000D0468" w:rsidRDefault="000D0468" w:rsidP="000D0468">
                  <w:pPr>
                    <w:spacing w:after="0" w:line="240" w:lineRule="auto"/>
                    <w:rPr>
                      <w:rFonts w:ascii="Times New Roman" w:eastAsia="Times New Roman" w:hAnsi="Times New Roman" w:cs="Times New Roman"/>
                      <w:sz w:val="20"/>
                      <w:szCs w:val="20"/>
                    </w:rPr>
                  </w:pPr>
                </w:p>
              </w:tc>
            </w:tr>
            <w:tr w:rsidR="000D0468" w:rsidRPr="000D0468" w14:paraId="470472EF" w14:textId="77777777" w:rsidTr="00E1021E">
              <w:trPr>
                <w:trHeight w:val="300"/>
              </w:trPr>
              <w:tc>
                <w:tcPr>
                  <w:tcW w:w="3924" w:type="dxa"/>
                  <w:tcBorders>
                    <w:top w:val="nil"/>
                    <w:left w:val="nil"/>
                    <w:bottom w:val="nil"/>
                    <w:right w:val="nil"/>
                  </w:tcBorders>
                  <w:shd w:val="clear" w:color="000000" w:fill="auto"/>
                  <w:noWrap/>
                  <w:vAlign w:val="bottom"/>
                  <w:hideMark/>
                </w:tcPr>
                <w:p w14:paraId="52EA32A1" w14:textId="77777777" w:rsidR="000D0468" w:rsidRPr="000D0468" w:rsidRDefault="000D0468" w:rsidP="000D0468">
                  <w:pPr>
                    <w:spacing w:after="0" w:line="240" w:lineRule="auto"/>
                    <w:rPr>
                      <w:rFonts w:ascii="Calibri" w:eastAsia="Times New Roman" w:hAnsi="Calibri" w:cs="Times New Roman"/>
                      <w:b/>
                      <w:bCs/>
                      <w:color w:val="000000"/>
                      <w:u w:val="single"/>
                    </w:rPr>
                  </w:pPr>
                  <w:r w:rsidRPr="000D0468">
                    <w:rPr>
                      <w:rFonts w:ascii="Calibri" w:eastAsia="Times New Roman" w:hAnsi="Calibri" w:cs="Times New Roman"/>
                      <w:b/>
                      <w:bCs/>
                      <w:color w:val="000000"/>
                      <w:u w:val="single"/>
                    </w:rPr>
                    <w:t>GBMC - Support Our Elders</w:t>
                  </w:r>
                </w:p>
              </w:tc>
              <w:tc>
                <w:tcPr>
                  <w:tcW w:w="1856" w:type="dxa"/>
                  <w:tcBorders>
                    <w:top w:val="nil"/>
                    <w:left w:val="nil"/>
                    <w:bottom w:val="nil"/>
                    <w:right w:val="nil"/>
                  </w:tcBorders>
                  <w:shd w:val="clear" w:color="000000" w:fill="auto"/>
                  <w:noWrap/>
                  <w:vAlign w:val="bottom"/>
                  <w:hideMark/>
                </w:tcPr>
                <w:p w14:paraId="7DA53C3A" w14:textId="77777777" w:rsidR="000D0468" w:rsidRPr="000D0468" w:rsidRDefault="000D0468" w:rsidP="000D0468">
                  <w:pPr>
                    <w:spacing w:after="0" w:line="240" w:lineRule="auto"/>
                    <w:rPr>
                      <w:rFonts w:ascii="Calibri" w:eastAsia="Times New Roman" w:hAnsi="Calibri" w:cs="Times New Roman"/>
                      <w:b/>
                      <w:bCs/>
                      <w:color w:val="000000"/>
                      <w:u w:val="single"/>
                    </w:rPr>
                  </w:pPr>
                </w:p>
              </w:tc>
            </w:tr>
            <w:tr w:rsidR="000D0468" w:rsidRPr="000D0468" w14:paraId="6AF78BE0" w14:textId="77777777" w:rsidTr="00E1021E">
              <w:trPr>
                <w:trHeight w:val="300"/>
              </w:trPr>
              <w:tc>
                <w:tcPr>
                  <w:tcW w:w="3924" w:type="dxa"/>
                  <w:tcBorders>
                    <w:top w:val="single" w:sz="4" w:space="0" w:color="auto"/>
                    <w:left w:val="single" w:sz="4" w:space="0" w:color="auto"/>
                    <w:bottom w:val="nil"/>
                    <w:right w:val="single" w:sz="4" w:space="0" w:color="auto"/>
                  </w:tcBorders>
                  <w:shd w:val="clear" w:color="000000" w:fill="FFFFFF"/>
                  <w:vAlign w:val="bottom"/>
                  <w:hideMark/>
                </w:tcPr>
                <w:p w14:paraId="10BA0A07" w14:textId="77777777" w:rsidR="000D0468" w:rsidRPr="000D0468" w:rsidRDefault="000D0468" w:rsidP="000D0468">
                  <w:pPr>
                    <w:spacing w:after="0" w:line="240" w:lineRule="auto"/>
                    <w:rPr>
                      <w:rFonts w:ascii="Arial" w:eastAsia="Times New Roman" w:hAnsi="Arial" w:cs="Arial"/>
                      <w:b/>
                      <w:bCs/>
                      <w:color w:val="000000"/>
                      <w:sz w:val="20"/>
                      <w:szCs w:val="20"/>
                      <w:u w:val="single"/>
                    </w:rPr>
                  </w:pPr>
                  <w:r w:rsidRPr="000D0468">
                    <w:rPr>
                      <w:rFonts w:ascii="Arial" w:eastAsia="Times New Roman" w:hAnsi="Arial" w:cs="Arial"/>
                      <w:b/>
                      <w:bCs/>
                      <w:color w:val="000000"/>
                      <w:sz w:val="20"/>
                      <w:szCs w:val="20"/>
                      <w:u w:val="single"/>
                    </w:rPr>
                    <w:t>Metrics</w:t>
                  </w:r>
                </w:p>
              </w:tc>
              <w:tc>
                <w:tcPr>
                  <w:tcW w:w="1856" w:type="dxa"/>
                  <w:tcBorders>
                    <w:top w:val="nil"/>
                    <w:left w:val="nil"/>
                    <w:bottom w:val="nil"/>
                    <w:right w:val="nil"/>
                  </w:tcBorders>
                  <w:shd w:val="clear" w:color="000000" w:fill="auto"/>
                  <w:noWrap/>
                  <w:vAlign w:val="bottom"/>
                  <w:hideMark/>
                </w:tcPr>
                <w:p w14:paraId="4C1F61CB" w14:textId="77777777" w:rsidR="000D0468" w:rsidRPr="000D0468" w:rsidRDefault="000D0468" w:rsidP="000D0468">
                  <w:pPr>
                    <w:spacing w:after="0" w:line="240" w:lineRule="auto"/>
                    <w:rPr>
                      <w:rFonts w:ascii="Arial" w:eastAsia="Times New Roman" w:hAnsi="Arial" w:cs="Arial"/>
                      <w:b/>
                      <w:bCs/>
                      <w:color w:val="000000"/>
                      <w:sz w:val="20"/>
                      <w:szCs w:val="20"/>
                      <w:u w:val="single"/>
                    </w:rPr>
                  </w:pPr>
                </w:p>
              </w:tc>
            </w:tr>
            <w:tr w:rsidR="000D0468" w:rsidRPr="000D0468" w14:paraId="0DA6916B" w14:textId="77777777" w:rsidTr="00E1021E">
              <w:trPr>
                <w:trHeight w:val="300"/>
              </w:trPr>
              <w:tc>
                <w:tcPr>
                  <w:tcW w:w="392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DF621" w14:textId="77777777" w:rsidR="000D0468" w:rsidRPr="000D0468" w:rsidRDefault="000D0468" w:rsidP="000D0468">
                  <w:pPr>
                    <w:spacing w:after="0" w:line="240" w:lineRule="auto"/>
                    <w:rPr>
                      <w:rFonts w:ascii="Arial" w:eastAsia="Times New Roman" w:hAnsi="Arial" w:cs="Arial"/>
                      <w:color w:val="000000"/>
                      <w:sz w:val="20"/>
                      <w:szCs w:val="20"/>
                    </w:rPr>
                  </w:pPr>
                  <w:r w:rsidRPr="000D0468">
                    <w:rPr>
                      <w:rFonts w:ascii="Arial" w:eastAsia="Times New Roman" w:hAnsi="Arial" w:cs="Arial"/>
                      <w:color w:val="000000"/>
                      <w:sz w:val="20"/>
                      <w:szCs w:val="20"/>
                    </w:rPr>
                    <w:t>2+ Chronic Conditions and Medicare FFS</w:t>
                  </w:r>
                </w:p>
              </w:tc>
              <w:tc>
                <w:tcPr>
                  <w:tcW w:w="1856" w:type="dxa"/>
                  <w:tcBorders>
                    <w:top w:val="single" w:sz="4" w:space="0" w:color="auto"/>
                    <w:left w:val="nil"/>
                    <w:bottom w:val="single" w:sz="4" w:space="0" w:color="auto"/>
                    <w:right w:val="single" w:sz="4" w:space="0" w:color="auto"/>
                  </w:tcBorders>
                  <w:shd w:val="clear" w:color="000000" w:fill="auto"/>
                  <w:noWrap/>
                  <w:vAlign w:val="bottom"/>
                  <w:hideMark/>
                </w:tcPr>
                <w:p w14:paraId="53981D3D" w14:textId="77777777" w:rsidR="000D0468" w:rsidRPr="000D0468" w:rsidRDefault="000D0468" w:rsidP="000D0468">
                  <w:pPr>
                    <w:spacing w:after="0" w:line="240" w:lineRule="auto"/>
                    <w:jc w:val="center"/>
                    <w:rPr>
                      <w:rFonts w:ascii="Calibri" w:eastAsia="Times New Roman" w:hAnsi="Calibri" w:cs="Times New Roman"/>
                      <w:color w:val="000000"/>
                    </w:rPr>
                  </w:pPr>
                  <w:r w:rsidRPr="000D0468">
                    <w:rPr>
                      <w:rFonts w:ascii="Calibri" w:eastAsia="Times New Roman" w:hAnsi="Calibri" w:cs="Times New Roman"/>
                      <w:color w:val="000000"/>
                    </w:rPr>
                    <w:t xml:space="preserve"> $             6,411.02 </w:t>
                  </w:r>
                </w:p>
              </w:tc>
            </w:tr>
            <w:tr w:rsidR="000D0468" w:rsidRPr="000D0468" w14:paraId="43556AC9" w14:textId="77777777" w:rsidTr="00E1021E">
              <w:trPr>
                <w:trHeight w:val="300"/>
              </w:trPr>
              <w:tc>
                <w:tcPr>
                  <w:tcW w:w="3924" w:type="dxa"/>
                  <w:tcBorders>
                    <w:top w:val="nil"/>
                    <w:left w:val="single" w:sz="4" w:space="0" w:color="auto"/>
                    <w:bottom w:val="single" w:sz="4" w:space="0" w:color="auto"/>
                    <w:right w:val="single" w:sz="4" w:space="0" w:color="auto"/>
                  </w:tcBorders>
                  <w:shd w:val="clear" w:color="000000" w:fill="FFFFFF"/>
                  <w:vAlign w:val="bottom"/>
                  <w:hideMark/>
                </w:tcPr>
                <w:p w14:paraId="4A256AB2" w14:textId="77777777" w:rsidR="000D0468" w:rsidRPr="000D0468" w:rsidRDefault="000D0468" w:rsidP="000D0468">
                  <w:pPr>
                    <w:spacing w:after="0" w:line="240" w:lineRule="auto"/>
                    <w:rPr>
                      <w:rFonts w:ascii="Arial" w:eastAsia="Times New Roman" w:hAnsi="Arial" w:cs="Arial"/>
                      <w:color w:val="000000"/>
                      <w:sz w:val="20"/>
                      <w:szCs w:val="20"/>
                    </w:rPr>
                  </w:pPr>
                  <w:r w:rsidRPr="000D0468">
                    <w:rPr>
                      <w:rFonts w:ascii="Arial" w:eastAsia="Times New Roman" w:hAnsi="Arial" w:cs="Arial"/>
                      <w:color w:val="000000"/>
                      <w:sz w:val="20"/>
                      <w:szCs w:val="20"/>
                    </w:rPr>
                    <w:t>2+ IP or Obs&gt;=24 or ED Visits</w:t>
                  </w:r>
                </w:p>
              </w:tc>
              <w:tc>
                <w:tcPr>
                  <w:tcW w:w="1856" w:type="dxa"/>
                  <w:tcBorders>
                    <w:top w:val="nil"/>
                    <w:left w:val="nil"/>
                    <w:bottom w:val="single" w:sz="4" w:space="0" w:color="auto"/>
                    <w:right w:val="single" w:sz="4" w:space="0" w:color="auto"/>
                  </w:tcBorders>
                  <w:shd w:val="clear" w:color="000000" w:fill="auto"/>
                  <w:noWrap/>
                  <w:vAlign w:val="bottom"/>
                  <w:hideMark/>
                </w:tcPr>
                <w:p w14:paraId="187B0AAE" w14:textId="77777777" w:rsidR="000D0468" w:rsidRPr="000D0468" w:rsidRDefault="000D0468" w:rsidP="000D0468">
                  <w:pPr>
                    <w:spacing w:after="0" w:line="240" w:lineRule="auto"/>
                    <w:jc w:val="center"/>
                    <w:rPr>
                      <w:rFonts w:ascii="Calibri" w:eastAsia="Times New Roman" w:hAnsi="Calibri" w:cs="Times New Roman"/>
                      <w:color w:val="000000"/>
                    </w:rPr>
                  </w:pPr>
                  <w:r w:rsidRPr="000D0468">
                    <w:rPr>
                      <w:rFonts w:ascii="Calibri" w:eastAsia="Times New Roman" w:hAnsi="Calibri" w:cs="Times New Roman"/>
                      <w:color w:val="000000"/>
                    </w:rPr>
                    <w:t xml:space="preserve"> $             1,987.91 </w:t>
                  </w:r>
                </w:p>
              </w:tc>
            </w:tr>
            <w:tr w:rsidR="000D0468" w:rsidRPr="000D0468" w14:paraId="460A8CB7" w14:textId="77777777" w:rsidTr="00E1021E">
              <w:trPr>
                <w:trHeight w:val="300"/>
              </w:trPr>
              <w:tc>
                <w:tcPr>
                  <w:tcW w:w="3924" w:type="dxa"/>
                  <w:tcBorders>
                    <w:top w:val="nil"/>
                    <w:left w:val="single" w:sz="4" w:space="0" w:color="auto"/>
                    <w:bottom w:val="single" w:sz="4" w:space="0" w:color="auto"/>
                    <w:right w:val="single" w:sz="4" w:space="0" w:color="auto"/>
                  </w:tcBorders>
                  <w:shd w:val="clear" w:color="000000" w:fill="FFFFFF"/>
                  <w:vAlign w:val="bottom"/>
                  <w:hideMark/>
                </w:tcPr>
                <w:p w14:paraId="3EEE75FD" w14:textId="77777777" w:rsidR="000D0468" w:rsidRPr="000D0468" w:rsidRDefault="000D0468" w:rsidP="000D0468">
                  <w:pPr>
                    <w:spacing w:after="0" w:line="240" w:lineRule="auto"/>
                    <w:rPr>
                      <w:rFonts w:ascii="Arial" w:eastAsia="Times New Roman" w:hAnsi="Arial" w:cs="Arial"/>
                      <w:color w:val="000000"/>
                      <w:sz w:val="20"/>
                      <w:szCs w:val="20"/>
                    </w:rPr>
                  </w:pPr>
                  <w:r w:rsidRPr="000D0468">
                    <w:rPr>
                      <w:rFonts w:ascii="Arial" w:eastAsia="Times New Roman" w:hAnsi="Arial" w:cs="Arial"/>
                      <w:color w:val="000000"/>
                      <w:sz w:val="20"/>
                      <w:szCs w:val="20"/>
                    </w:rPr>
                    <w:t>2+ IP or Obs&gt;=24 or ED Visits Medicare FFS</w:t>
                  </w:r>
                </w:p>
              </w:tc>
              <w:tc>
                <w:tcPr>
                  <w:tcW w:w="1856" w:type="dxa"/>
                  <w:tcBorders>
                    <w:top w:val="nil"/>
                    <w:left w:val="nil"/>
                    <w:bottom w:val="single" w:sz="4" w:space="0" w:color="auto"/>
                    <w:right w:val="single" w:sz="4" w:space="0" w:color="auto"/>
                  </w:tcBorders>
                  <w:shd w:val="clear" w:color="000000" w:fill="auto"/>
                  <w:noWrap/>
                  <w:vAlign w:val="bottom"/>
                  <w:hideMark/>
                </w:tcPr>
                <w:p w14:paraId="5D314400" w14:textId="77777777" w:rsidR="000D0468" w:rsidRPr="000D0468" w:rsidRDefault="000D0468" w:rsidP="000D0468">
                  <w:pPr>
                    <w:spacing w:after="0" w:line="240" w:lineRule="auto"/>
                    <w:jc w:val="center"/>
                    <w:rPr>
                      <w:rFonts w:ascii="Calibri" w:eastAsia="Times New Roman" w:hAnsi="Calibri" w:cs="Times New Roman"/>
                      <w:color w:val="000000"/>
                    </w:rPr>
                  </w:pPr>
                  <w:r w:rsidRPr="000D0468">
                    <w:rPr>
                      <w:rFonts w:ascii="Calibri" w:eastAsia="Times New Roman" w:hAnsi="Calibri" w:cs="Times New Roman"/>
                      <w:color w:val="000000"/>
                    </w:rPr>
                    <w:t xml:space="preserve"> $             4,540.66 </w:t>
                  </w:r>
                </w:p>
              </w:tc>
            </w:tr>
            <w:tr w:rsidR="000D0468" w:rsidRPr="000D0468" w14:paraId="3DEE45C2" w14:textId="77777777" w:rsidTr="00E1021E">
              <w:trPr>
                <w:trHeight w:val="300"/>
              </w:trPr>
              <w:tc>
                <w:tcPr>
                  <w:tcW w:w="3924" w:type="dxa"/>
                  <w:tcBorders>
                    <w:top w:val="nil"/>
                    <w:left w:val="single" w:sz="4" w:space="0" w:color="auto"/>
                    <w:bottom w:val="single" w:sz="4" w:space="0" w:color="auto"/>
                    <w:right w:val="single" w:sz="4" w:space="0" w:color="auto"/>
                  </w:tcBorders>
                  <w:shd w:val="clear" w:color="000000" w:fill="FFFFFF"/>
                  <w:vAlign w:val="bottom"/>
                  <w:hideMark/>
                </w:tcPr>
                <w:p w14:paraId="1DC524B8" w14:textId="77777777" w:rsidR="000D0468" w:rsidRPr="000D0468" w:rsidRDefault="000D0468" w:rsidP="000D0468">
                  <w:pPr>
                    <w:spacing w:after="0" w:line="240" w:lineRule="auto"/>
                    <w:rPr>
                      <w:rFonts w:ascii="Arial" w:eastAsia="Times New Roman" w:hAnsi="Arial" w:cs="Arial"/>
                      <w:color w:val="000000"/>
                      <w:sz w:val="20"/>
                      <w:szCs w:val="20"/>
                    </w:rPr>
                  </w:pPr>
                  <w:r w:rsidRPr="000D0468">
                    <w:rPr>
                      <w:rFonts w:ascii="Arial" w:eastAsia="Times New Roman" w:hAnsi="Arial" w:cs="Arial"/>
                      <w:color w:val="000000"/>
                      <w:sz w:val="20"/>
                      <w:szCs w:val="20"/>
                    </w:rPr>
                    <w:t>3+ IP or Obs&gt;=24 Visits</w:t>
                  </w:r>
                </w:p>
              </w:tc>
              <w:tc>
                <w:tcPr>
                  <w:tcW w:w="1856" w:type="dxa"/>
                  <w:tcBorders>
                    <w:top w:val="nil"/>
                    <w:left w:val="nil"/>
                    <w:bottom w:val="single" w:sz="4" w:space="0" w:color="auto"/>
                    <w:right w:val="single" w:sz="4" w:space="0" w:color="auto"/>
                  </w:tcBorders>
                  <w:shd w:val="clear" w:color="000000" w:fill="auto"/>
                  <w:noWrap/>
                  <w:vAlign w:val="bottom"/>
                  <w:hideMark/>
                </w:tcPr>
                <w:p w14:paraId="2F1E7153" w14:textId="77777777" w:rsidR="000D0468" w:rsidRPr="000D0468" w:rsidRDefault="000D0468" w:rsidP="000D0468">
                  <w:pPr>
                    <w:spacing w:after="0" w:line="240" w:lineRule="auto"/>
                    <w:jc w:val="center"/>
                    <w:rPr>
                      <w:rFonts w:ascii="Calibri" w:eastAsia="Times New Roman" w:hAnsi="Calibri" w:cs="Times New Roman"/>
                      <w:color w:val="000000"/>
                    </w:rPr>
                  </w:pPr>
                  <w:r w:rsidRPr="000D0468">
                    <w:rPr>
                      <w:rFonts w:ascii="Calibri" w:eastAsia="Times New Roman" w:hAnsi="Calibri" w:cs="Times New Roman"/>
                      <w:color w:val="000000"/>
                    </w:rPr>
                    <w:t xml:space="preserve"> $                806.29 </w:t>
                  </w:r>
                </w:p>
              </w:tc>
            </w:tr>
            <w:tr w:rsidR="000D0468" w:rsidRPr="000D0468" w14:paraId="64954FFF" w14:textId="77777777" w:rsidTr="00E1021E">
              <w:trPr>
                <w:trHeight w:val="300"/>
              </w:trPr>
              <w:tc>
                <w:tcPr>
                  <w:tcW w:w="3924" w:type="dxa"/>
                  <w:tcBorders>
                    <w:top w:val="nil"/>
                    <w:left w:val="single" w:sz="4" w:space="0" w:color="auto"/>
                    <w:bottom w:val="single" w:sz="4" w:space="0" w:color="auto"/>
                    <w:right w:val="single" w:sz="4" w:space="0" w:color="auto"/>
                  </w:tcBorders>
                  <w:shd w:val="clear" w:color="000000" w:fill="FFFFFF"/>
                  <w:vAlign w:val="bottom"/>
                  <w:hideMark/>
                </w:tcPr>
                <w:p w14:paraId="78F6FDB0" w14:textId="77777777" w:rsidR="000D0468" w:rsidRPr="000D0468" w:rsidRDefault="000D0468" w:rsidP="000D0468">
                  <w:pPr>
                    <w:spacing w:after="0" w:line="240" w:lineRule="auto"/>
                    <w:rPr>
                      <w:rFonts w:ascii="Arial" w:eastAsia="Times New Roman" w:hAnsi="Arial" w:cs="Arial"/>
                      <w:color w:val="000000"/>
                      <w:sz w:val="20"/>
                      <w:szCs w:val="20"/>
                    </w:rPr>
                  </w:pPr>
                  <w:r w:rsidRPr="000D0468">
                    <w:rPr>
                      <w:rFonts w:ascii="Arial" w:eastAsia="Times New Roman" w:hAnsi="Arial" w:cs="Arial"/>
                      <w:color w:val="000000"/>
                      <w:sz w:val="20"/>
                      <w:szCs w:val="20"/>
                    </w:rPr>
                    <w:t>3+ IP or Obs&gt;=24 Visits Medicare FFS</w:t>
                  </w:r>
                </w:p>
              </w:tc>
              <w:tc>
                <w:tcPr>
                  <w:tcW w:w="1856" w:type="dxa"/>
                  <w:tcBorders>
                    <w:top w:val="nil"/>
                    <w:left w:val="nil"/>
                    <w:bottom w:val="single" w:sz="4" w:space="0" w:color="auto"/>
                    <w:right w:val="single" w:sz="4" w:space="0" w:color="auto"/>
                  </w:tcBorders>
                  <w:shd w:val="clear" w:color="000000" w:fill="auto"/>
                  <w:noWrap/>
                  <w:vAlign w:val="bottom"/>
                  <w:hideMark/>
                </w:tcPr>
                <w:p w14:paraId="366F3D74" w14:textId="77777777" w:rsidR="000D0468" w:rsidRPr="000D0468" w:rsidRDefault="000D0468" w:rsidP="000D0468">
                  <w:pPr>
                    <w:spacing w:after="0" w:line="240" w:lineRule="auto"/>
                    <w:jc w:val="center"/>
                    <w:rPr>
                      <w:rFonts w:ascii="Calibri" w:eastAsia="Times New Roman" w:hAnsi="Calibri" w:cs="Times New Roman"/>
                      <w:color w:val="000000"/>
                    </w:rPr>
                  </w:pPr>
                  <w:r w:rsidRPr="000D0468">
                    <w:rPr>
                      <w:rFonts w:ascii="Calibri" w:eastAsia="Times New Roman" w:hAnsi="Calibri" w:cs="Times New Roman"/>
                      <w:color w:val="000000"/>
                    </w:rPr>
                    <w:t xml:space="preserve"> $             2,134.98 </w:t>
                  </w:r>
                </w:p>
              </w:tc>
            </w:tr>
            <w:tr w:rsidR="000D0468" w:rsidRPr="000D0468" w14:paraId="676593BA" w14:textId="77777777" w:rsidTr="00E1021E">
              <w:trPr>
                <w:trHeight w:val="300"/>
              </w:trPr>
              <w:tc>
                <w:tcPr>
                  <w:tcW w:w="3924" w:type="dxa"/>
                  <w:tcBorders>
                    <w:top w:val="nil"/>
                    <w:left w:val="single" w:sz="4" w:space="0" w:color="auto"/>
                    <w:bottom w:val="single" w:sz="4" w:space="0" w:color="auto"/>
                    <w:right w:val="single" w:sz="4" w:space="0" w:color="auto"/>
                  </w:tcBorders>
                  <w:shd w:val="clear" w:color="000000" w:fill="FFFFFF"/>
                  <w:vAlign w:val="bottom"/>
                  <w:hideMark/>
                </w:tcPr>
                <w:p w14:paraId="4F2AE711" w14:textId="77777777" w:rsidR="000D0468" w:rsidRPr="000D0468" w:rsidRDefault="000D0468" w:rsidP="000D0468">
                  <w:pPr>
                    <w:spacing w:after="0" w:line="240" w:lineRule="auto"/>
                    <w:rPr>
                      <w:rFonts w:ascii="Arial" w:eastAsia="Times New Roman" w:hAnsi="Arial" w:cs="Arial"/>
                      <w:color w:val="000000"/>
                      <w:sz w:val="20"/>
                      <w:szCs w:val="20"/>
                    </w:rPr>
                  </w:pPr>
                  <w:r w:rsidRPr="000D0468">
                    <w:rPr>
                      <w:rFonts w:ascii="Arial" w:eastAsia="Times New Roman" w:hAnsi="Arial" w:cs="Arial"/>
                      <w:color w:val="000000"/>
                      <w:sz w:val="20"/>
                      <w:szCs w:val="20"/>
                    </w:rPr>
                    <w:t>All Payer</w:t>
                  </w:r>
                </w:p>
              </w:tc>
              <w:tc>
                <w:tcPr>
                  <w:tcW w:w="1856" w:type="dxa"/>
                  <w:tcBorders>
                    <w:top w:val="nil"/>
                    <w:left w:val="nil"/>
                    <w:bottom w:val="single" w:sz="4" w:space="0" w:color="auto"/>
                    <w:right w:val="single" w:sz="4" w:space="0" w:color="auto"/>
                  </w:tcBorders>
                  <w:shd w:val="clear" w:color="000000" w:fill="auto"/>
                  <w:noWrap/>
                  <w:vAlign w:val="bottom"/>
                  <w:hideMark/>
                </w:tcPr>
                <w:p w14:paraId="3BEF5390" w14:textId="77777777" w:rsidR="000D0468" w:rsidRPr="000D0468" w:rsidRDefault="000D0468" w:rsidP="000D0468">
                  <w:pPr>
                    <w:spacing w:after="0" w:line="240" w:lineRule="auto"/>
                    <w:jc w:val="center"/>
                    <w:rPr>
                      <w:rFonts w:ascii="Calibri" w:eastAsia="Times New Roman" w:hAnsi="Calibri" w:cs="Times New Roman"/>
                      <w:color w:val="000000"/>
                    </w:rPr>
                  </w:pPr>
                  <w:r w:rsidRPr="000D0468">
                    <w:rPr>
                      <w:rFonts w:ascii="Calibri" w:eastAsia="Times New Roman" w:hAnsi="Calibri" w:cs="Times New Roman"/>
                      <w:color w:val="000000"/>
                    </w:rPr>
                    <w:t xml:space="preserve"> $             3,482.48 </w:t>
                  </w:r>
                </w:p>
              </w:tc>
            </w:tr>
            <w:tr w:rsidR="000D0468" w:rsidRPr="000D0468" w14:paraId="3C2AA983" w14:textId="77777777" w:rsidTr="00E1021E">
              <w:trPr>
                <w:trHeight w:val="300"/>
              </w:trPr>
              <w:tc>
                <w:tcPr>
                  <w:tcW w:w="3924" w:type="dxa"/>
                  <w:tcBorders>
                    <w:top w:val="nil"/>
                    <w:left w:val="single" w:sz="4" w:space="0" w:color="auto"/>
                    <w:bottom w:val="single" w:sz="4" w:space="0" w:color="auto"/>
                    <w:right w:val="single" w:sz="4" w:space="0" w:color="auto"/>
                  </w:tcBorders>
                  <w:shd w:val="clear" w:color="000000" w:fill="FFFFFF"/>
                  <w:vAlign w:val="bottom"/>
                  <w:hideMark/>
                </w:tcPr>
                <w:p w14:paraId="3EE12D4C" w14:textId="77777777" w:rsidR="000D0468" w:rsidRPr="000D0468" w:rsidRDefault="000D0468" w:rsidP="000D0468">
                  <w:pPr>
                    <w:spacing w:after="0" w:line="240" w:lineRule="auto"/>
                    <w:rPr>
                      <w:rFonts w:ascii="Arial" w:eastAsia="Times New Roman" w:hAnsi="Arial" w:cs="Arial"/>
                      <w:color w:val="000000"/>
                      <w:sz w:val="20"/>
                      <w:szCs w:val="20"/>
                    </w:rPr>
                  </w:pPr>
                  <w:r w:rsidRPr="000D0468">
                    <w:rPr>
                      <w:rFonts w:ascii="Arial" w:eastAsia="Times New Roman" w:hAnsi="Arial" w:cs="Arial"/>
                      <w:color w:val="000000"/>
                      <w:sz w:val="20"/>
                      <w:szCs w:val="20"/>
                    </w:rPr>
                    <w:t>Medicare FFS</w:t>
                  </w:r>
                </w:p>
              </w:tc>
              <w:tc>
                <w:tcPr>
                  <w:tcW w:w="1856" w:type="dxa"/>
                  <w:tcBorders>
                    <w:top w:val="nil"/>
                    <w:left w:val="nil"/>
                    <w:bottom w:val="single" w:sz="4" w:space="0" w:color="auto"/>
                    <w:right w:val="single" w:sz="4" w:space="0" w:color="auto"/>
                  </w:tcBorders>
                  <w:shd w:val="clear" w:color="000000" w:fill="auto"/>
                  <w:noWrap/>
                  <w:vAlign w:val="bottom"/>
                  <w:hideMark/>
                </w:tcPr>
                <w:p w14:paraId="5F939792" w14:textId="77777777" w:rsidR="000D0468" w:rsidRPr="000D0468" w:rsidRDefault="000D0468" w:rsidP="000D0468">
                  <w:pPr>
                    <w:spacing w:after="0" w:line="240" w:lineRule="auto"/>
                    <w:jc w:val="center"/>
                    <w:rPr>
                      <w:rFonts w:ascii="Calibri" w:eastAsia="Times New Roman" w:hAnsi="Calibri" w:cs="Times New Roman"/>
                      <w:color w:val="000000"/>
                    </w:rPr>
                  </w:pPr>
                  <w:r w:rsidRPr="000D0468">
                    <w:rPr>
                      <w:rFonts w:ascii="Calibri" w:eastAsia="Times New Roman" w:hAnsi="Calibri" w:cs="Times New Roman"/>
                      <w:color w:val="000000"/>
                    </w:rPr>
                    <w:t xml:space="preserve"> $             7,308.19 </w:t>
                  </w:r>
                </w:p>
              </w:tc>
            </w:tr>
          </w:tbl>
          <w:p w14:paraId="6A33ACBE" w14:textId="2E0A2C4A" w:rsidR="00862326" w:rsidRDefault="000D0468" w:rsidP="00862326">
            <w:r>
              <w:t xml:space="preserve"> </w:t>
            </w:r>
          </w:p>
        </w:tc>
      </w:tr>
      <w:tr w:rsidR="00862326" w14:paraId="513EC68C" w14:textId="03C57EF2" w:rsidTr="00E54B91">
        <w:tc>
          <w:tcPr>
            <w:tcW w:w="1800" w:type="dxa"/>
          </w:tcPr>
          <w:p w14:paraId="6C9115DC" w14:textId="1C2A378E" w:rsidR="00862326" w:rsidRPr="00ED511D" w:rsidRDefault="00862326" w:rsidP="00B24A6C">
            <w:r w:rsidRPr="00ED511D">
              <w:t xml:space="preserve">Total Hospital </w:t>
            </w:r>
            <w:r w:rsidR="00B24A6C">
              <w:t>Discharges</w:t>
            </w:r>
            <w:r w:rsidR="00B24A6C" w:rsidRPr="00ED511D">
              <w:t xml:space="preserve"> </w:t>
            </w:r>
            <w:r w:rsidRPr="00ED511D">
              <w:t xml:space="preserve">per </w:t>
            </w:r>
            <w:r>
              <w:t>c</w:t>
            </w:r>
            <w:r w:rsidRPr="00ED511D">
              <w:t>apita</w:t>
            </w:r>
          </w:p>
        </w:tc>
        <w:tc>
          <w:tcPr>
            <w:tcW w:w="3235" w:type="dxa"/>
          </w:tcPr>
          <w:p w14:paraId="35352AE8" w14:textId="524780EF" w:rsidR="00862326" w:rsidRDefault="00862326" w:rsidP="00C643E8">
            <w:pPr>
              <w:rPr>
                <w:b/>
              </w:rPr>
            </w:pPr>
            <w:r w:rsidRPr="00862326">
              <w:rPr>
                <w:b/>
              </w:rPr>
              <w:t xml:space="preserve">Total </w:t>
            </w:r>
            <w:r w:rsidR="00B24A6C">
              <w:rPr>
                <w:b/>
              </w:rPr>
              <w:t>Discharges</w:t>
            </w:r>
            <w:r w:rsidR="00B24A6C" w:rsidRPr="00862326">
              <w:rPr>
                <w:b/>
              </w:rPr>
              <w:t xml:space="preserve"> </w:t>
            </w:r>
            <w:r w:rsidRPr="00862326">
              <w:rPr>
                <w:b/>
              </w:rPr>
              <w:t>per 1,000</w:t>
            </w:r>
          </w:p>
          <w:p w14:paraId="230F3160" w14:textId="77777777" w:rsidR="00862326" w:rsidRDefault="00862326" w:rsidP="00862326">
            <w:pPr>
              <w:rPr>
                <w:sz w:val="20"/>
              </w:rPr>
            </w:pPr>
          </w:p>
          <w:p w14:paraId="21174D59" w14:textId="77777777" w:rsidR="00862326" w:rsidRPr="00862326" w:rsidRDefault="00862326" w:rsidP="00862326">
            <w:pPr>
              <w:rPr>
                <w:sz w:val="20"/>
              </w:rPr>
            </w:pPr>
            <w:r w:rsidRPr="00862326">
              <w:rPr>
                <w:sz w:val="20"/>
              </w:rPr>
              <w:t>Executive Dashboard:</w:t>
            </w:r>
          </w:p>
          <w:p w14:paraId="15FF02A9" w14:textId="77777777" w:rsidR="00862326" w:rsidRPr="00862326" w:rsidRDefault="00862326" w:rsidP="00862326">
            <w:pPr>
              <w:rPr>
                <w:sz w:val="20"/>
              </w:rPr>
            </w:pPr>
            <w:r w:rsidRPr="00862326">
              <w:rPr>
                <w:sz w:val="20"/>
              </w:rPr>
              <w:lastRenderedPageBreak/>
              <w:t xml:space="preserve">‘Regional Partnership per Capita Utilization’ – </w:t>
            </w:r>
          </w:p>
          <w:p w14:paraId="7315D120" w14:textId="29B6DB76" w:rsidR="00862326" w:rsidRDefault="00862326" w:rsidP="00862326">
            <w:pPr>
              <w:rPr>
                <w:sz w:val="20"/>
              </w:rPr>
            </w:pPr>
            <w:r w:rsidRPr="00862326">
              <w:rPr>
                <w:sz w:val="20"/>
                <w:u w:val="single"/>
              </w:rPr>
              <w:t xml:space="preserve">Hospital </w:t>
            </w:r>
            <w:r>
              <w:rPr>
                <w:sz w:val="20"/>
                <w:u w:val="single"/>
              </w:rPr>
              <w:t>Disc</w:t>
            </w:r>
            <w:r w:rsidRPr="00862326">
              <w:rPr>
                <w:sz w:val="20"/>
                <w:u w:val="single"/>
              </w:rPr>
              <w:t xml:space="preserve">harges per </w:t>
            </w:r>
            <w:r>
              <w:rPr>
                <w:sz w:val="20"/>
                <w:u w:val="single"/>
              </w:rPr>
              <w:t>1,000</w:t>
            </w:r>
            <w:r w:rsidRPr="00862326">
              <w:rPr>
                <w:sz w:val="20"/>
              </w:rPr>
              <w:t>, reported as average 12 months of FY 2018</w:t>
            </w:r>
          </w:p>
          <w:p w14:paraId="6A5B998D" w14:textId="77777777" w:rsidR="00862326" w:rsidRPr="00862326" w:rsidRDefault="00862326" w:rsidP="00862326">
            <w:pPr>
              <w:rPr>
                <w:sz w:val="20"/>
              </w:rPr>
            </w:pPr>
          </w:p>
          <w:p w14:paraId="2704C09F" w14:textId="77777777" w:rsidR="00862326" w:rsidRDefault="00862326" w:rsidP="00862326">
            <w:pPr>
              <w:rPr>
                <w:sz w:val="20"/>
              </w:rPr>
            </w:pPr>
            <w:r w:rsidRPr="00862326">
              <w:rPr>
                <w:sz w:val="20"/>
              </w:rPr>
              <w:t>-or-</w:t>
            </w:r>
          </w:p>
          <w:p w14:paraId="2FE637B6" w14:textId="77777777" w:rsidR="00862326" w:rsidRPr="00862326" w:rsidRDefault="00862326" w:rsidP="00862326">
            <w:pPr>
              <w:rPr>
                <w:sz w:val="20"/>
              </w:rPr>
            </w:pPr>
          </w:p>
          <w:p w14:paraId="7C5E614F" w14:textId="77777777" w:rsidR="00862326" w:rsidRPr="00862326" w:rsidRDefault="00862326" w:rsidP="00862326">
            <w:pPr>
              <w:rPr>
                <w:sz w:val="20"/>
              </w:rPr>
            </w:pPr>
            <w:r w:rsidRPr="00862326">
              <w:rPr>
                <w:sz w:val="20"/>
              </w:rPr>
              <w:t>Analytic File:</w:t>
            </w:r>
          </w:p>
          <w:p w14:paraId="4BC813D4" w14:textId="4A276AC9" w:rsidR="00862326" w:rsidRPr="00862326" w:rsidRDefault="00862326" w:rsidP="00862326">
            <w:pPr>
              <w:rPr>
                <w:sz w:val="20"/>
              </w:rPr>
            </w:pPr>
            <w:r w:rsidRPr="00862326">
              <w:rPr>
                <w:sz w:val="20"/>
              </w:rPr>
              <w:t>‘</w:t>
            </w:r>
            <w:r w:rsidR="00B24A6C">
              <w:rPr>
                <w:sz w:val="20"/>
              </w:rPr>
              <w:t>IPObs24</w:t>
            </w:r>
            <w:r>
              <w:rPr>
                <w:sz w:val="20"/>
              </w:rPr>
              <w:t>Visit</w:t>
            </w:r>
            <w:r w:rsidRPr="00862326">
              <w:rPr>
                <w:sz w:val="20"/>
              </w:rPr>
              <w:t>s’ over ‘Population’</w:t>
            </w:r>
          </w:p>
          <w:p w14:paraId="15008D70" w14:textId="1AA1F730" w:rsidR="00862326" w:rsidRPr="00862326" w:rsidRDefault="00862326" w:rsidP="00B24A6C">
            <w:pPr>
              <w:rPr>
                <w:b/>
              </w:rPr>
            </w:pPr>
            <w:r w:rsidRPr="00862326">
              <w:rPr>
                <w:sz w:val="20"/>
              </w:rPr>
              <w:t>(Column</w:t>
            </w:r>
            <w:r>
              <w:rPr>
                <w:sz w:val="20"/>
              </w:rPr>
              <w:t xml:space="preserve"> </w:t>
            </w:r>
            <w:r w:rsidR="00B24A6C">
              <w:rPr>
                <w:sz w:val="20"/>
              </w:rPr>
              <w:t>G</w:t>
            </w:r>
            <w:r w:rsidRPr="00862326">
              <w:rPr>
                <w:sz w:val="20"/>
              </w:rPr>
              <w:t xml:space="preserve"> / Column C)</w:t>
            </w:r>
          </w:p>
        </w:tc>
        <w:tc>
          <w:tcPr>
            <w:tcW w:w="4320" w:type="dxa"/>
          </w:tcPr>
          <w:p w14:paraId="233FBB8E" w14:textId="77777777" w:rsidR="00862326" w:rsidRDefault="000D0468" w:rsidP="00862326">
            <w:r>
              <w:lastRenderedPageBreak/>
              <w:t>Using the CRISP Analytic file and instructions, please see below for this metric calculation:</w:t>
            </w:r>
          </w:p>
          <w:tbl>
            <w:tblPr>
              <w:tblW w:w="5475" w:type="dxa"/>
              <w:tblLook w:val="04A0" w:firstRow="1" w:lastRow="0" w:firstColumn="1" w:lastColumn="0" w:noHBand="0" w:noVBand="1"/>
            </w:tblPr>
            <w:tblGrid>
              <w:gridCol w:w="3919"/>
              <w:gridCol w:w="1556"/>
            </w:tblGrid>
            <w:tr w:rsidR="00E1021E" w:rsidRPr="00E1021E" w14:paraId="2D9BCB15" w14:textId="77777777" w:rsidTr="00E1021E">
              <w:trPr>
                <w:trHeight w:val="2310"/>
              </w:trPr>
              <w:tc>
                <w:tcPr>
                  <w:tcW w:w="391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DD8DD4D" w14:textId="77777777" w:rsidR="00E1021E" w:rsidRPr="00E1021E" w:rsidRDefault="00E1021E" w:rsidP="00E1021E">
                  <w:pPr>
                    <w:spacing w:after="0" w:line="240" w:lineRule="auto"/>
                    <w:rPr>
                      <w:rFonts w:ascii="Calibri" w:eastAsia="Times New Roman" w:hAnsi="Calibri" w:cs="Times New Roman"/>
                      <w:b/>
                      <w:bCs/>
                      <w:color w:val="000000"/>
                      <w:u w:val="single"/>
                    </w:rPr>
                  </w:pPr>
                  <w:r w:rsidRPr="00E1021E">
                    <w:rPr>
                      <w:rFonts w:ascii="Calibri" w:eastAsia="Times New Roman" w:hAnsi="Calibri" w:cs="Times New Roman"/>
                      <w:b/>
                      <w:bCs/>
                      <w:color w:val="000000"/>
                      <w:u w:val="single"/>
                    </w:rPr>
                    <w:lastRenderedPageBreak/>
                    <w:t>GBMC</w:t>
                  </w:r>
                </w:p>
              </w:tc>
              <w:tc>
                <w:tcPr>
                  <w:tcW w:w="1556"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13AEA279" w14:textId="77777777" w:rsidR="00E1021E" w:rsidRPr="00E1021E" w:rsidRDefault="00E1021E" w:rsidP="00E1021E">
                  <w:pPr>
                    <w:spacing w:after="0" w:line="240" w:lineRule="auto"/>
                    <w:jc w:val="center"/>
                    <w:rPr>
                      <w:rFonts w:ascii="Arial" w:eastAsia="Times New Roman" w:hAnsi="Arial" w:cs="Arial"/>
                      <w:b/>
                      <w:bCs/>
                      <w:color w:val="0000FF"/>
                      <w:sz w:val="20"/>
                      <w:szCs w:val="20"/>
                    </w:rPr>
                  </w:pPr>
                  <w:r w:rsidRPr="00E1021E">
                    <w:rPr>
                      <w:rFonts w:ascii="Arial" w:eastAsia="Times New Roman" w:hAnsi="Arial" w:cs="Arial"/>
                      <w:b/>
                      <w:bCs/>
                      <w:color w:val="0000FF"/>
                      <w:sz w:val="20"/>
                      <w:szCs w:val="20"/>
                    </w:rPr>
                    <w:t>Total Discharges per 1,000</w:t>
                  </w:r>
                </w:p>
              </w:tc>
            </w:tr>
            <w:tr w:rsidR="00E1021E" w:rsidRPr="00E1021E" w14:paraId="68C2FB96" w14:textId="77777777" w:rsidTr="00E1021E">
              <w:trPr>
                <w:trHeight w:val="300"/>
              </w:trPr>
              <w:tc>
                <w:tcPr>
                  <w:tcW w:w="3919" w:type="dxa"/>
                  <w:tcBorders>
                    <w:top w:val="single" w:sz="4" w:space="0" w:color="auto"/>
                    <w:left w:val="single" w:sz="4" w:space="0" w:color="auto"/>
                    <w:bottom w:val="nil"/>
                    <w:right w:val="single" w:sz="4" w:space="0" w:color="auto"/>
                  </w:tcBorders>
                  <w:shd w:val="clear" w:color="000000" w:fill="FFFFFF"/>
                  <w:vAlign w:val="bottom"/>
                  <w:hideMark/>
                </w:tcPr>
                <w:p w14:paraId="4CCAB746" w14:textId="77777777" w:rsidR="00E1021E" w:rsidRPr="00E1021E" w:rsidRDefault="00E1021E" w:rsidP="00E1021E">
                  <w:pPr>
                    <w:spacing w:after="0" w:line="240" w:lineRule="auto"/>
                    <w:rPr>
                      <w:rFonts w:ascii="Arial" w:eastAsia="Times New Roman" w:hAnsi="Arial" w:cs="Arial"/>
                      <w:b/>
                      <w:bCs/>
                      <w:color w:val="000000"/>
                      <w:sz w:val="20"/>
                      <w:szCs w:val="20"/>
                      <w:u w:val="single"/>
                    </w:rPr>
                  </w:pPr>
                  <w:r w:rsidRPr="00E1021E">
                    <w:rPr>
                      <w:rFonts w:ascii="Arial" w:eastAsia="Times New Roman" w:hAnsi="Arial" w:cs="Arial"/>
                      <w:b/>
                      <w:bCs/>
                      <w:color w:val="000000"/>
                      <w:sz w:val="20"/>
                      <w:szCs w:val="20"/>
                      <w:u w:val="single"/>
                    </w:rPr>
                    <w:t>Metrics</w:t>
                  </w:r>
                </w:p>
              </w:tc>
              <w:tc>
                <w:tcPr>
                  <w:tcW w:w="1556" w:type="dxa"/>
                  <w:tcBorders>
                    <w:top w:val="nil"/>
                    <w:left w:val="nil"/>
                    <w:bottom w:val="nil"/>
                    <w:right w:val="nil"/>
                  </w:tcBorders>
                  <w:shd w:val="clear" w:color="000000" w:fill="auto"/>
                  <w:noWrap/>
                  <w:vAlign w:val="bottom"/>
                  <w:hideMark/>
                </w:tcPr>
                <w:p w14:paraId="17E5DFAF" w14:textId="77777777" w:rsidR="00E1021E" w:rsidRPr="00E1021E" w:rsidRDefault="00E1021E" w:rsidP="00E1021E">
                  <w:pPr>
                    <w:spacing w:after="0" w:line="240" w:lineRule="auto"/>
                    <w:rPr>
                      <w:rFonts w:ascii="Arial" w:eastAsia="Times New Roman" w:hAnsi="Arial" w:cs="Arial"/>
                      <w:b/>
                      <w:bCs/>
                      <w:color w:val="000000"/>
                      <w:sz w:val="20"/>
                      <w:szCs w:val="20"/>
                      <w:u w:val="single"/>
                    </w:rPr>
                  </w:pPr>
                </w:p>
              </w:tc>
            </w:tr>
            <w:tr w:rsidR="00E1021E" w:rsidRPr="00E1021E" w14:paraId="20255315" w14:textId="77777777" w:rsidTr="00E1021E">
              <w:trPr>
                <w:trHeight w:val="300"/>
              </w:trPr>
              <w:tc>
                <w:tcPr>
                  <w:tcW w:w="391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AA07B"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Chronic Conditions and Medicare FFS</w:t>
                  </w:r>
                </w:p>
              </w:tc>
              <w:tc>
                <w:tcPr>
                  <w:tcW w:w="1556" w:type="dxa"/>
                  <w:tcBorders>
                    <w:top w:val="single" w:sz="4" w:space="0" w:color="auto"/>
                    <w:left w:val="nil"/>
                    <w:bottom w:val="single" w:sz="4" w:space="0" w:color="auto"/>
                    <w:right w:val="single" w:sz="4" w:space="0" w:color="auto"/>
                  </w:tcBorders>
                  <w:shd w:val="clear" w:color="000000" w:fill="auto"/>
                  <w:noWrap/>
                  <w:vAlign w:val="bottom"/>
                  <w:hideMark/>
                </w:tcPr>
                <w:p w14:paraId="332B533E"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284.79 </w:t>
                  </w:r>
                </w:p>
              </w:tc>
            </w:tr>
            <w:tr w:rsidR="00E1021E" w:rsidRPr="00E1021E" w14:paraId="6723A14D"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52F11323"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IP or Obs&gt;=24 or ED Visits</w:t>
                  </w:r>
                </w:p>
              </w:tc>
              <w:tc>
                <w:tcPr>
                  <w:tcW w:w="1556" w:type="dxa"/>
                  <w:tcBorders>
                    <w:top w:val="nil"/>
                    <w:left w:val="nil"/>
                    <w:bottom w:val="single" w:sz="4" w:space="0" w:color="auto"/>
                    <w:right w:val="single" w:sz="4" w:space="0" w:color="auto"/>
                  </w:tcBorders>
                  <w:shd w:val="clear" w:color="000000" w:fill="auto"/>
                  <w:noWrap/>
                  <w:vAlign w:val="bottom"/>
                  <w:hideMark/>
                </w:tcPr>
                <w:p w14:paraId="0577FCA3"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99.55 </w:t>
                  </w:r>
                </w:p>
              </w:tc>
            </w:tr>
            <w:tr w:rsidR="00E1021E" w:rsidRPr="00E1021E" w14:paraId="655D443C" w14:textId="77777777" w:rsidTr="00E1021E">
              <w:trPr>
                <w:trHeight w:val="33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5CEFE7A1"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IP or Obs&gt;=24 or ED Visits Medicare FFS</w:t>
                  </w:r>
                </w:p>
              </w:tc>
              <w:tc>
                <w:tcPr>
                  <w:tcW w:w="1556" w:type="dxa"/>
                  <w:tcBorders>
                    <w:top w:val="nil"/>
                    <w:left w:val="nil"/>
                    <w:bottom w:val="single" w:sz="4" w:space="0" w:color="auto"/>
                    <w:right w:val="single" w:sz="4" w:space="0" w:color="auto"/>
                  </w:tcBorders>
                  <w:shd w:val="clear" w:color="000000" w:fill="auto"/>
                  <w:noWrap/>
                  <w:vAlign w:val="bottom"/>
                  <w:hideMark/>
                </w:tcPr>
                <w:p w14:paraId="7A95F176"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230.04 </w:t>
                  </w:r>
                </w:p>
              </w:tc>
            </w:tr>
            <w:tr w:rsidR="00E1021E" w:rsidRPr="00E1021E" w14:paraId="6A419E0D"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460FA21D"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3+ IP or Obs&gt;=24 Visits</w:t>
                  </w:r>
                </w:p>
              </w:tc>
              <w:tc>
                <w:tcPr>
                  <w:tcW w:w="1556" w:type="dxa"/>
                  <w:tcBorders>
                    <w:top w:val="nil"/>
                    <w:left w:val="nil"/>
                    <w:bottom w:val="single" w:sz="4" w:space="0" w:color="auto"/>
                    <w:right w:val="single" w:sz="4" w:space="0" w:color="auto"/>
                  </w:tcBorders>
                  <w:shd w:val="clear" w:color="000000" w:fill="auto"/>
                  <w:noWrap/>
                  <w:vAlign w:val="bottom"/>
                  <w:hideMark/>
                </w:tcPr>
                <w:p w14:paraId="60CB1716"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44.54 </w:t>
                  </w:r>
                </w:p>
              </w:tc>
            </w:tr>
            <w:tr w:rsidR="00E1021E" w:rsidRPr="00E1021E" w14:paraId="47EC56EA"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72594A9C"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3+ IP or Obs&gt;=24 Visits Medicare FFS</w:t>
                  </w:r>
                </w:p>
              </w:tc>
              <w:tc>
                <w:tcPr>
                  <w:tcW w:w="1556" w:type="dxa"/>
                  <w:tcBorders>
                    <w:top w:val="nil"/>
                    <w:left w:val="nil"/>
                    <w:bottom w:val="single" w:sz="4" w:space="0" w:color="auto"/>
                    <w:right w:val="single" w:sz="4" w:space="0" w:color="auto"/>
                  </w:tcBorders>
                  <w:shd w:val="clear" w:color="000000" w:fill="auto"/>
                  <w:noWrap/>
                  <w:vAlign w:val="bottom"/>
                  <w:hideMark/>
                </w:tcPr>
                <w:p w14:paraId="66904678"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116.54 </w:t>
                  </w:r>
                </w:p>
              </w:tc>
            </w:tr>
            <w:tr w:rsidR="00E1021E" w:rsidRPr="00E1021E" w14:paraId="7477B97C"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50CF295F"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All Payer</w:t>
                  </w:r>
                </w:p>
              </w:tc>
              <w:tc>
                <w:tcPr>
                  <w:tcW w:w="1556" w:type="dxa"/>
                  <w:tcBorders>
                    <w:top w:val="nil"/>
                    <w:left w:val="nil"/>
                    <w:bottom w:val="single" w:sz="4" w:space="0" w:color="auto"/>
                    <w:right w:val="single" w:sz="4" w:space="0" w:color="auto"/>
                  </w:tcBorders>
                  <w:shd w:val="clear" w:color="000000" w:fill="auto"/>
                  <w:noWrap/>
                  <w:vAlign w:val="bottom"/>
                  <w:hideMark/>
                </w:tcPr>
                <w:p w14:paraId="3672FD99"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146.06 </w:t>
                  </w:r>
                </w:p>
              </w:tc>
            </w:tr>
            <w:tr w:rsidR="00E1021E" w:rsidRPr="00E1021E" w14:paraId="2670D61E"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3013C142"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Medicare FFS</w:t>
                  </w:r>
                </w:p>
              </w:tc>
              <w:tc>
                <w:tcPr>
                  <w:tcW w:w="1556" w:type="dxa"/>
                  <w:tcBorders>
                    <w:top w:val="nil"/>
                    <w:left w:val="nil"/>
                    <w:bottom w:val="single" w:sz="4" w:space="0" w:color="auto"/>
                    <w:right w:val="single" w:sz="4" w:space="0" w:color="auto"/>
                  </w:tcBorders>
                  <w:shd w:val="clear" w:color="000000" w:fill="auto"/>
                  <w:noWrap/>
                  <w:vAlign w:val="bottom"/>
                  <w:hideMark/>
                </w:tcPr>
                <w:p w14:paraId="00E9DA85"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306.07 </w:t>
                  </w:r>
                </w:p>
              </w:tc>
            </w:tr>
            <w:tr w:rsidR="00E1021E" w:rsidRPr="00E1021E" w14:paraId="381FE8F6" w14:textId="77777777" w:rsidTr="00E1021E">
              <w:trPr>
                <w:trHeight w:val="300"/>
              </w:trPr>
              <w:tc>
                <w:tcPr>
                  <w:tcW w:w="3919" w:type="dxa"/>
                  <w:tcBorders>
                    <w:top w:val="nil"/>
                    <w:left w:val="nil"/>
                    <w:bottom w:val="nil"/>
                    <w:right w:val="nil"/>
                  </w:tcBorders>
                  <w:shd w:val="clear" w:color="000000" w:fill="auto"/>
                  <w:noWrap/>
                  <w:vAlign w:val="bottom"/>
                  <w:hideMark/>
                </w:tcPr>
                <w:p w14:paraId="51D30069" w14:textId="77777777" w:rsidR="00E1021E" w:rsidRPr="00E1021E" w:rsidRDefault="00E1021E" w:rsidP="00E1021E">
                  <w:pPr>
                    <w:spacing w:after="0" w:line="240" w:lineRule="auto"/>
                    <w:jc w:val="center"/>
                    <w:rPr>
                      <w:rFonts w:ascii="Calibri" w:eastAsia="Times New Roman" w:hAnsi="Calibri" w:cs="Times New Roman"/>
                      <w:color w:val="000000"/>
                    </w:rPr>
                  </w:pPr>
                </w:p>
              </w:tc>
              <w:tc>
                <w:tcPr>
                  <w:tcW w:w="1556" w:type="dxa"/>
                  <w:tcBorders>
                    <w:top w:val="nil"/>
                    <w:left w:val="nil"/>
                    <w:bottom w:val="nil"/>
                    <w:right w:val="nil"/>
                  </w:tcBorders>
                  <w:shd w:val="clear" w:color="000000" w:fill="auto"/>
                  <w:noWrap/>
                  <w:vAlign w:val="bottom"/>
                  <w:hideMark/>
                </w:tcPr>
                <w:p w14:paraId="26C39460" w14:textId="77777777" w:rsidR="00E1021E" w:rsidRPr="00E1021E" w:rsidRDefault="00E1021E" w:rsidP="00E1021E">
                  <w:pPr>
                    <w:spacing w:after="0" w:line="240" w:lineRule="auto"/>
                    <w:rPr>
                      <w:rFonts w:ascii="Times New Roman" w:eastAsia="Times New Roman" w:hAnsi="Times New Roman" w:cs="Times New Roman"/>
                      <w:sz w:val="20"/>
                      <w:szCs w:val="20"/>
                    </w:rPr>
                  </w:pPr>
                </w:p>
              </w:tc>
            </w:tr>
            <w:tr w:rsidR="00E1021E" w:rsidRPr="00E1021E" w14:paraId="04B1E6E7" w14:textId="77777777" w:rsidTr="00E1021E">
              <w:trPr>
                <w:trHeight w:val="300"/>
              </w:trPr>
              <w:tc>
                <w:tcPr>
                  <w:tcW w:w="3919" w:type="dxa"/>
                  <w:tcBorders>
                    <w:top w:val="nil"/>
                    <w:left w:val="nil"/>
                    <w:bottom w:val="nil"/>
                    <w:right w:val="nil"/>
                  </w:tcBorders>
                  <w:shd w:val="clear" w:color="000000" w:fill="auto"/>
                  <w:noWrap/>
                  <w:vAlign w:val="bottom"/>
                  <w:hideMark/>
                </w:tcPr>
                <w:p w14:paraId="3B390726" w14:textId="77777777" w:rsidR="00E1021E" w:rsidRPr="00E1021E" w:rsidRDefault="00E1021E" w:rsidP="00E1021E">
                  <w:pPr>
                    <w:spacing w:after="0" w:line="240" w:lineRule="auto"/>
                    <w:rPr>
                      <w:rFonts w:ascii="Calibri" w:eastAsia="Times New Roman" w:hAnsi="Calibri" w:cs="Times New Roman"/>
                      <w:b/>
                      <w:bCs/>
                      <w:color w:val="000000"/>
                      <w:u w:val="single"/>
                    </w:rPr>
                  </w:pPr>
                  <w:r w:rsidRPr="00E1021E">
                    <w:rPr>
                      <w:rFonts w:ascii="Calibri" w:eastAsia="Times New Roman" w:hAnsi="Calibri" w:cs="Times New Roman"/>
                      <w:b/>
                      <w:bCs/>
                      <w:color w:val="000000"/>
                      <w:u w:val="single"/>
                    </w:rPr>
                    <w:t>GBMC - Support Our Elders</w:t>
                  </w:r>
                </w:p>
              </w:tc>
              <w:tc>
                <w:tcPr>
                  <w:tcW w:w="1556" w:type="dxa"/>
                  <w:tcBorders>
                    <w:top w:val="nil"/>
                    <w:left w:val="nil"/>
                    <w:bottom w:val="nil"/>
                    <w:right w:val="nil"/>
                  </w:tcBorders>
                  <w:shd w:val="clear" w:color="000000" w:fill="auto"/>
                  <w:noWrap/>
                  <w:vAlign w:val="bottom"/>
                  <w:hideMark/>
                </w:tcPr>
                <w:p w14:paraId="15D41838" w14:textId="77777777" w:rsidR="00E1021E" w:rsidRPr="00E1021E" w:rsidRDefault="00E1021E" w:rsidP="00E1021E">
                  <w:pPr>
                    <w:spacing w:after="0" w:line="240" w:lineRule="auto"/>
                    <w:rPr>
                      <w:rFonts w:ascii="Calibri" w:eastAsia="Times New Roman" w:hAnsi="Calibri" w:cs="Times New Roman"/>
                      <w:b/>
                      <w:bCs/>
                      <w:color w:val="000000"/>
                      <w:u w:val="single"/>
                    </w:rPr>
                  </w:pPr>
                </w:p>
              </w:tc>
            </w:tr>
            <w:tr w:rsidR="00E1021E" w:rsidRPr="00E1021E" w14:paraId="71E8D927" w14:textId="77777777" w:rsidTr="00E1021E">
              <w:trPr>
                <w:trHeight w:val="300"/>
              </w:trPr>
              <w:tc>
                <w:tcPr>
                  <w:tcW w:w="3919" w:type="dxa"/>
                  <w:tcBorders>
                    <w:top w:val="single" w:sz="4" w:space="0" w:color="auto"/>
                    <w:left w:val="single" w:sz="4" w:space="0" w:color="auto"/>
                    <w:bottom w:val="nil"/>
                    <w:right w:val="single" w:sz="4" w:space="0" w:color="auto"/>
                  </w:tcBorders>
                  <w:shd w:val="clear" w:color="000000" w:fill="FFFFFF"/>
                  <w:vAlign w:val="bottom"/>
                  <w:hideMark/>
                </w:tcPr>
                <w:p w14:paraId="37F3D521" w14:textId="77777777" w:rsidR="00E1021E" w:rsidRPr="00E1021E" w:rsidRDefault="00E1021E" w:rsidP="00E1021E">
                  <w:pPr>
                    <w:spacing w:after="0" w:line="240" w:lineRule="auto"/>
                    <w:rPr>
                      <w:rFonts w:ascii="Arial" w:eastAsia="Times New Roman" w:hAnsi="Arial" w:cs="Arial"/>
                      <w:b/>
                      <w:bCs/>
                      <w:color w:val="000000"/>
                      <w:sz w:val="20"/>
                      <w:szCs w:val="20"/>
                      <w:u w:val="single"/>
                    </w:rPr>
                  </w:pPr>
                  <w:r w:rsidRPr="00E1021E">
                    <w:rPr>
                      <w:rFonts w:ascii="Arial" w:eastAsia="Times New Roman" w:hAnsi="Arial" w:cs="Arial"/>
                      <w:b/>
                      <w:bCs/>
                      <w:color w:val="000000"/>
                      <w:sz w:val="20"/>
                      <w:szCs w:val="20"/>
                      <w:u w:val="single"/>
                    </w:rPr>
                    <w:t>Metrics</w:t>
                  </w:r>
                </w:p>
              </w:tc>
              <w:tc>
                <w:tcPr>
                  <w:tcW w:w="1556" w:type="dxa"/>
                  <w:tcBorders>
                    <w:top w:val="nil"/>
                    <w:left w:val="nil"/>
                    <w:bottom w:val="nil"/>
                    <w:right w:val="nil"/>
                  </w:tcBorders>
                  <w:shd w:val="clear" w:color="000000" w:fill="auto"/>
                  <w:noWrap/>
                  <w:vAlign w:val="bottom"/>
                  <w:hideMark/>
                </w:tcPr>
                <w:p w14:paraId="20442915" w14:textId="77777777" w:rsidR="00E1021E" w:rsidRPr="00E1021E" w:rsidRDefault="00E1021E" w:rsidP="00E1021E">
                  <w:pPr>
                    <w:spacing w:after="0" w:line="240" w:lineRule="auto"/>
                    <w:rPr>
                      <w:rFonts w:ascii="Arial" w:eastAsia="Times New Roman" w:hAnsi="Arial" w:cs="Arial"/>
                      <w:b/>
                      <w:bCs/>
                      <w:color w:val="000000"/>
                      <w:sz w:val="20"/>
                      <w:szCs w:val="20"/>
                      <w:u w:val="single"/>
                    </w:rPr>
                  </w:pPr>
                </w:p>
              </w:tc>
            </w:tr>
            <w:tr w:rsidR="00E1021E" w:rsidRPr="00E1021E" w14:paraId="7F1F0331" w14:textId="77777777" w:rsidTr="00E1021E">
              <w:trPr>
                <w:trHeight w:val="300"/>
              </w:trPr>
              <w:tc>
                <w:tcPr>
                  <w:tcW w:w="391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F94CC"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Chronic Conditions and Medicare FFS</w:t>
                  </w:r>
                </w:p>
              </w:tc>
              <w:tc>
                <w:tcPr>
                  <w:tcW w:w="1556" w:type="dxa"/>
                  <w:tcBorders>
                    <w:top w:val="single" w:sz="4" w:space="0" w:color="auto"/>
                    <w:left w:val="nil"/>
                    <w:bottom w:val="single" w:sz="4" w:space="0" w:color="auto"/>
                    <w:right w:val="single" w:sz="4" w:space="0" w:color="auto"/>
                  </w:tcBorders>
                  <w:shd w:val="clear" w:color="000000" w:fill="auto"/>
                  <w:noWrap/>
                  <w:vAlign w:val="bottom"/>
                  <w:hideMark/>
                </w:tcPr>
                <w:p w14:paraId="785C11AD"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252.52 </w:t>
                  </w:r>
                </w:p>
              </w:tc>
            </w:tr>
            <w:tr w:rsidR="00E1021E" w:rsidRPr="00E1021E" w14:paraId="217E0BAA"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63CA7DFD"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IP or Obs&gt;=24 or ED Visits</w:t>
                  </w:r>
                </w:p>
              </w:tc>
              <w:tc>
                <w:tcPr>
                  <w:tcW w:w="1556" w:type="dxa"/>
                  <w:tcBorders>
                    <w:top w:val="nil"/>
                    <w:left w:val="nil"/>
                    <w:bottom w:val="single" w:sz="4" w:space="0" w:color="auto"/>
                    <w:right w:val="single" w:sz="4" w:space="0" w:color="auto"/>
                  </w:tcBorders>
                  <w:shd w:val="clear" w:color="000000" w:fill="auto"/>
                  <w:noWrap/>
                  <w:vAlign w:val="bottom"/>
                  <w:hideMark/>
                </w:tcPr>
                <w:p w14:paraId="6A50313E"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85.22 </w:t>
                  </w:r>
                </w:p>
              </w:tc>
            </w:tr>
            <w:tr w:rsidR="00E1021E" w:rsidRPr="00E1021E" w14:paraId="337C9197"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7B92410F"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IP or Obs&gt;=24 or ED Visits Medicare FFS</w:t>
                  </w:r>
                </w:p>
              </w:tc>
              <w:tc>
                <w:tcPr>
                  <w:tcW w:w="1556" w:type="dxa"/>
                  <w:tcBorders>
                    <w:top w:val="nil"/>
                    <w:left w:val="nil"/>
                    <w:bottom w:val="single" w:sz="4" w:space="0" w:color="auto"/>
                    <w:right w:val="single" w:sz="4" w:space="0" w:color="auto"/>
                  </w:tcBorders>
                  <w:shd w:val="clear" w:color="000000" w:fill="auto"/>
                  <w:noWrap/>
                  <w:vAlign w:val="bottom"/>
                  <w:hideMark/>
                </w:tcPr>
                <w:p w14:paraId="34D6E784"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203.65 </w:t>
                  </w:r>
                </w:p>
              </w:tc>
            </w:tr>
            <w:tr w:rsidR="00E1021E" w:rsidRPr="00E1021E" w14:paraId="07FFA08C"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4CEA1124"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3+ IP or Obs&gt;=24 Visits</w:t>
                  </w:r>
                </w:p>
              </w:tc>
              <w:tc>
                <w:tcPr>
                  <w:tcW w:w="1556" w:type="dxa"/>
                  <w:tcBorders>
                    <w:top w:val="nil"/>
                    <w:left w:val="nil"/>
                    <w:bottom w:val="single" w:sz="4" w:space="0" w:color="auto"/>
                    <w:right w:val="single" w:sz="4" w:space="0" w:color="auto"/>
                  </w:tcBorders>
                  <w:shd w:val="clear" w:color="000000" w:fill="auto"/>
                  <w:noWrap/>
                  <w:vAlign w:val="bottom"/>
                  <w:hideMark/>
                </w:tcPr>
                <w:p w14:paraId="4AA07043"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36.22 </w:t>
                  </w:r>
                </w:p>
              </w:tc>
            </w:tr>
            <w:tr w:rsidR="00E1021E" w:rsidRPr="00E1021E" w14:paraId="1408C21C"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74BEC50B"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3+ IP or Obs&gt;=24 Visits Medicare FFS</w:t>
                  </w:r>
                </w:p>
              </w:tc>
              <w:tc>
                <w:tcPr>
                  <w:tcW w:w="1556" w:type="dxa"/>
                  <w:tcBorders>
                    <w:top w:val="nil"/>
                    <w:left w:val="nil"/>
                    <w:bottom w:val="single" w:sz="4" w:space="0" w:color="auto"/>
                    <w:right w:val="single" w:sz="4" w:space="0" w:color="auto"/>
                  </w:tcBorders>
                  <w:shd w:val="clear" w:color="000000" w:fill="auto"/>
                  <w:noWrap/>
                  <w:vAlign w:val="bottom"/>
                  <w:hideMark/>
                </w:tcPr>
                <w:p w14:paraId="559A1AF3"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97.28 </w:t>
                  </w:r>
                </w:p>
              </w:tc>
            </w:tr>
            <w:tr w:rsidR="00E1021E" w:rsidRPr="00E1021E" w14:paraId="1B0C5AA2"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2F0B59E1"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All Payer</w:t>
                  </w:r>
                </w:p>
              </w:tc>
              <w:tc>
                <w:tcPr>
                  <w:tcW w:w="1556" w:type="dxa"/>
                  <w:tcBorders>
                    <w:top w:val="nil"/>
                    <w:left w:val="nil"/>
                    <w:bottom w:val="single" w:sz="4" w:space="0" w:color="auto"/>
                    <w:right w:val="single" w:sz="4" w:space="0" w:color="auto"/>
                  </w:tcBorders>
                  <w:shd w:val="clear" w:color="000000" w:fill="auto"/>
                  <w:noWrap/>
                  <w:vAlign w:val="bottom"/>
                  <w:hideMark/>
                </w:tcPr>
                <w:p w14:paraId="6183DEEF"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131.30 </w:t>
                  </w:r>
                </w:p>
              </w:tc>
            </w:tr>
            <w:tr w:rsidR="00E1021E" w:rsidRPr="00E1021E" w14:paraId="273349E4"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43FDAA3B"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Medicare FFS</w:t>
                  </w:r>
                </w:p>
              </w:tc>
              <w:tc>
                <w:tcPr>
                  <w:tcW w:w="1556" w:type="dxa"/>
                  <w:tcBorders>
                    <w:top w:val="nil"/>
                    <w:left w:val="nil"/>
                    <w:bottom w:val="single" w:sz="4" w:space="0" w:color="auto"/>
                    <w:right w:val="single" w:sz="4" w:space="0" w:color="auto"/>
                  </w:tcBorders>
                  <w:shd w:val="clear" w:color="000000" w:fill="auto"/>
                  <w:noWrap/>
                  <w:vAlign w:val="bottom"/>
                  <w:hideMark/>
                </w:tcPr>
                <w:p w14:paraId="757867CE"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276.72 </w:t>
                  </w:r>
                </w:p>
              </w:tc>
            </w:tr>
          </w:tbl>
          <w:p w14:paraId="7CCA4DD4" w14:textId="45E2A77A" w:rsidR="00E1021E" w:rsidRDefault="00E1021E" w:rsidP="00862326"/>
        </w:tc>
      </w:tr>
      <w:tr w:rsidR="00862326" w14:paraId="2C3A4097" w14:textId="7818A5F0" w:rsidTr="00E54B91">
        <w:tc>
          <w:tcPr>
            <w:tcW w:w="1800" w:type="dxa"/>
          </w:tcPr>
          <w:p w14:paraId="0A0D05A0" w14:textId="621408DD" w:rsidR="00862326" w:rsidRPr="00ED511D" w:rsidRDefault="00862326" w:rsidP="00ED511D">
            <w:r>
              <w:lastRenderedPageBreak/>
              <w:t>Total Health Care Cost per person</w:t>
            </w:r>
          </w:p>
        </w:tc>
        <w:tc>
          <w:tcPr>
            <w:tcW w:w="3235" w:type="dxa"/>
          </w:tcPr>
          <w:p w14:paraId="5ECF9631" w14:textId="77777777" w:rsidR="00862326" w:rsidRDefault="00862326" w:rsidP="00C643E8">
            <w:pPr>
              <w:rPr>
                <w:b/>
              </w:rPr>
            </w:pPr>
            <w:r w:rsidRPr="00862326">
              <w:rPr>
                <w:b/>
              </w:rPr>
              <w:t>Partnership TCOC per capita – Medicare</w:t>
            </w:r>
          </w:p>
          <w:p w14:paraId="3AFE299F" w14:textId="77777777" w:rsidR="00862326" w:rsidRDefault="00862326" w:rsidP="00862326">
            <w:pPr>
              <w:rPr>
                <w:sz w:val="20"/>
              </w:rPr>
            </w:pPr>
          </w:p>
          <w:p w14:paraId="0D341B7D" w14:textId="3AB4F8C5" w:rsidR="00862326" w:rsidRDefault="00862326" w:rsidP="00862326">
            <w:pPr>
              <w:rPr>
                <w:sz w:val="20"/>
              </w:rPr>
            </w:pPr>
            <w:r w:rsidRPr="00862326">
              <w:rPr>
                <w:sz w:val="20"/>
              </w:rPr>
              <w:t xml:space="preserve">Total Cost of Care </w:t>
            </w:r>
            <w:r w:rsidR="008954BB">
              <w:rPr>
                <w:sz w:val="20"/>
              </w:rPr>
              <w:t xml:space="preserve">(Medicare CCW) </w:t>
            </w:r>
            <w:r w:rsidRPr="00862326">
              <w:rPr>
                <w:sz w:val="20"/>
              </w:rPr>
              <w:t>Report</w:t>
            </w:r>
            <w:r w:rsidR="008954BB">
              <w:rPr>
                <w:sz w:val="20"/>
              </w:rPr>
              <w:t xml:space="preserve"> ‘Regional Partnership Cost of Care’</w:t>
            </w:r>
            <w:r w:rsidR="00047939">
              <w:rPr>
                <w:sz w:val="20"/>
              </w:rPr>
              <w:t>:</w:t>
            </w:r>
          </w:p>
          <w:p w14:paraId="5CC1ADC4" w14:textId="756C6C8D" w:rsidR="00862326" w:rsidRPr="009A0C00" w:rsidRDefault="00862326" w:rsidP="00862326">
            <w:pPr>
              <w:rPr>
                <w:sz w:val="20"/>
              </w:rPr>
            </w:pPr>
            <w:r w:rsidRPr="00862326">
              <w:rPr>
                <w:sz w:val="20"/>
              </w:rPr>
              <w:t>‘Tab 4. PBPY Costs by Service Type’</w:t>
            </w:r>
            <w:r>
              <w:rPr>
                <w:sz w:val="20"/>
              </w:rPr>
              <w:t xml:space="preserve"> –</w:t>
            </w:r>
            <w:r w:rsidRPr="00862326">
              <w:rPr>
                <w:sz w:val="20"/>
              </w:rPr>
              <w:t xml:space="preserve"> sorted</w:t>
            </w:r>
            <w:r>
              <w:rPr>
                <w:sz w:val="20"/>
              </w:rPr>
              <w:t xml:space="preserve"> </w:t>
            </w:r>
            <w:r w:rsidRPr="00862326">
              <w:rPr>
                <w:sz w:val="20"/>
              </w:rPr>
              <w:t>for</w:t>
            </w:r>
            <w:r w:rsidR="009A0C00">
              <w:rPr>
                <w:sz w:val="20"/>
              </w:rPr>
              <w:t xml:space="preserve"> </w:t>
            </w:r>
            <w:r w:rsidR="009A0C00">
              <w:rPr>
                <w:sz w:val="20"/>
                <w:u w:val="single"/>
              </w:rPr>
              <w:t>CY 2017</w:t>
            </w:r>
            <w:r w:rsidR="009A0C00">
              <w:rPr>
                <w:sz w:val="20"/>
              </w:rPr>
              <w:t xml:space="preserve"> and</w:t>
            </w:r>
            <w:r w:rsidRPr="00862326">
              <w:rPr>
                <w:sz w:val="20"/>
              </w:rPr>
              <w:t xml:space="preserve"> </w:t>
            </w:r>
            <w:r w:rsidRPr="00862326">
              <w:rPr>
                <w:sz w:val="20"/>
                <w:u w:val="single"/>
              </w:rPr>
              <w:t>Total</w:t>
            </w:r>
          </w:p>
          <w:p w14:paraId="309D88F1" w14:textId="7B24C8D2" w:rsidR="00862326" w:rsidRPr="00862326" w:rsidRDefault="00862326" w:rsidP="00C643E8"/>
        </w:tc>
        <w:tc>
          <w:tcPr>
            <w:tcW w:w="4320" w:type="dxa"/>
          </w:tcPr>
          <w:p w14:paraId="249FC4C3" w14:textId="77777777" w:rsidR="00862326" w:rsidRDefault="000D0468" w:rsidP="00C643E8">
            <w:r>
              <w:t>Using the CRISP Analytic file and instructions, please see below for this metric calculation:</w:t>
            </w:r>
          </w:p>
          <w:tbl>
            <w:tblPr>
              <w:tblW w:w="5600" w:type="dxa"/>
              <w:tblLook w:val="04A0" w:firstRow="1" w:lastRow="0" w:firstColumn="1" w:lastColumn="0" w:noHBand="0" w:noVBand="1"/>
            </w:tblPr>
            <w:tblGrid>
              <w:gridCol w:w="3919"/>
              <w:gridCol w:w="1681"/>
            </w:tblGrid>
            <w:tr w:rsidR="00E1021E" w:rsidRPr="00E1021E" w14:paraId="6008F3B1" w14:textId="77777777" w:rsidTr="00E1021E">
              <w:trPr>
                <w:trHeight w:val="2310"/>
              </w:trPr>
              <w:tc>
                <w:tcPr>
                  <w:tcW w:w="391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CF0C012" w14:textId="77777777" w:rsidR="00E1021E" w:rsidRPr="00E1021E" w:rsidRDefault="00E1021E" w:rsidP="00E1021E">
                  <w:pPr>
                    <w:spacing w:after="0" w:line="240" w:lineRule="auto"/>
                    <w:rPr>
                      <w:rFonts w:ascii="Calibri" w:eastAsia="Times New Roman" w:hAnsi="Calibri" w:cs="Times New Roman"/>
                      <w:b/>
                      <w:bCs/>
                      <w:color w:val="000000"/>
                      <w:u w:val="single"/>
                    </w:rPr>
                  </w:pPr>
                  <w:r w:rsidRPr="00E1021E">
                    <w:rPr>
                      <w:rFonts w:ascii="Calibri" w:eastAsia="Times New Roman" w:hAnsi="Calibri" w:cs="Times New Roman"/>
                      <w:b/>
                      <w:bCs/>
                      <w:color w:val="000000"/>
                      <w:u w:val="single"/>
                    </w:rPr>
                    <w:t>GBMC</w:t>
                  </w:r>
                </w:p>
              </w:tc>
              <w:tc>
                <w:tcPr>
                  <w:tcW w:w="1681"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0B05292A" w14:textId="77777777" w:rsidR="00E1021E" w:rsidRPr="00E1021E" w:rsidRDefault="00E1021E" w:rsidP="00E1021E">
                  <w:pPr>
                    <w:spacing w:after="0" w:line="240" w:lineRule="auto"/>
                    <w:jc w:val="center"/>
                    <w:rPr>
                      <w:rFonts w:ascii="Arial" w:eastAsia="Times New Roman" w:hAnsi="Arial" w:cs="Arial"/>
                      <w:b/>
                      <w:bCs/>
                      <w:color w:val="0000FF"/>
                      <w:sz w:val="20"/>
                      <w:szCs w:val="20"/>
                    </w:rPr>
                  </w:pPr>
                  <w:r w:rsidRPr="00E1021E">
                    <w:rPr>
                      <w:rFonts w:ascii="Arial" w:eastAsia="Times New Roman" w:hAnsi="Arial" w:cs="Arial"/>
                      <w:b/>
                      <w:bCs/>
                      <w:color w:val="0000FF"/>
                      <w:sz w:val="20"/>
                      <w:szCs w:val="20"/>
                    </w:rPr>
                    <w:t>Partnership TCOC per capita – Medicare - CY2017</w:t>
                  </w:r>
                  <w:r w:rsidRPr="00E1021E">
                    <w:rPr>
                      <w:rFonts w:ascii="Arial" w:eastAsia="Times New Roman" w:hAnsi="Arial" w:cs="Arial"/>
                      <w:b/>
                      <w:bCs/>
                      <w:color w:val="0000FF"/>
                      <w:sz w:val="20"/>
                      <w:szCs w:val="20"/>
                    </w:rPr>
                    <w:br/>
                    <w:t>* Full Year Per Beneficiary Costs</w:t>
                  </w:r>
                </w:p>
              </w:tc>
            </w:tr>
            <w:tr w:rsidR="00E1021E" w:rsidRPr="00E1021E" w14:paraId="6AB74975" w14:textId="77777777" w:rsidTr="00E1021E">
              <w:trPr>
                <w:trHeight w:val="300"/>
              </w:trPr>
              <w:tc>
                <w:tcPr>
                  <w:tcW w:w="3919" w:type="dxa"/>
                  <w:tcBorders>
                    <w:top w:val="single" w:sz="4" w:space="0" w:color="auto"/>
                    <w:left w:val="single" w:sz="4" w:space="0" w:color="auto"/>
                    <w:bottom w:val="nil"/>
                    <w:right w:val="single" w:sz="4" w:space="0" w:color="auto"/>
                  </w:tcBorders>
                  <w:shd w:val="clear" w:color="000000" w:fill="FFFFFF"/>
                  <w:vAlign w:val="bottom"/>
                  <w:hideMark/>
                </w:tcPr>
                <w:p w14:paraId="5279B96C" w14:textId="77777777" w:rsidR="00E1021E" w:rsidRPr="00E1021E" w:rsidRDefault="00E1021E" w:rsidP="00E1021E">
                  <w:pPr>
                    <w:spacing w:after="0" w:line="240" w:lineRule="auto"/>
                    <w:rPr>
                      <w:rFonts w:ascii="Arial" w:eastAsia="Times New Roman" w:hAnsi="Arial" w:cs="Arial"/>
                      <w:b/>
                      <w:bCs/>
                      <w:color w:val="000000"/>
                      <w:sz w:val="20"/>
                      <w:szCs w:val="20"/>
                      <w:u w:val="single"/>
                    </w:rPr>
                  </w:pPr>
                  <w:r w:rsidRPr="00E1021E">
                    <w:rPr>
                      <w:rFonts w:ascii="Arial" w:eastAsia="Times New Roman" w:hAnsi="Arial" w:cs="Arial"/>
                      <w:b/>
                      <w:bCs/>
                      <w:color w:val="000000"/>
                      <w:sz w:val="20"/>
                      <w:szCs w:val="20"/>
                      <w:u w:val="single"/>
                    </w:rPr>
                    <w:t>Metrics</w:t>
                  </w:r>
                </w:p>
              </w:tc>
              <w:tc>
                <w:tcPr>
                  <w:tcW w:w="1681" w:type="dxa"/>
                  <w:tcBorders>
                    <w:top w:val="nil"/>
                    <w:left w:val="nil"/>
                    <w:bottom w:val="nil"/>
                    <w:right w:val="nil"/>
                  </w:tcBorders>
                  <w:shd w:val="clear" w:color="000000" w:fill="auto"/>
                  <w:noWrap/>
                  <w:vAlign w:val="bottom"/>
                  <w:hideMark/>
                </w:tcPr>
                <w:p w14:paraId="22CB4232" w14:textId="77777777" w:rsidR="00E1021E" w:rsidRPr="00E1021E" w:rsidRDefault="00E1021E" w:rsidP="00E1021E">
                  <w:pPr>
                    <w:spacing w:after="0" w:line="240" w:lineRule="auto"/>
                    <w:rPr>
                      <w:rFonts w:ascii="Arial" w:eastAsia="Times New Roman" w:hAnsi="Arial" w:cs="Arial"/>
                      <w:b/>
                      <w:bCs/>
                      <w:color w:val="000000"/>
                      <w:sz w:val="20"/>
                      <w:szCs w:val="20"/>
                      <w:u w:val="single"/>
                    </w:rPr>
                  </w:pPr>
                </w:p>
              </w:tc>
            </w:tr>
            <w:tr w:rsidR="00E1021E" w:rsidRPr="00E1021E" w14:paraId="4EA9E681" w14:textId="77777777" w:rsidTr="00E1021E">
              <w:trPr>
                <w:trHeight w:val="300"/>
              </w:trPr>
              <w:tc>
                <w:tcPr>
                  <w:tcW w:w="391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A10C8"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Chronic Conditions and Medicare FFS</w:t>
                  </w:r>
                </w:p>
              </w:tc>
              <w:tc>
                <w:tcPr>
                  <w:tcW w:w="1681" w:type="dxa"/>
                  <w:tcBorders>
                    <w:top w:val="single" w:sz="4" w:space="0" w:color="auto"/>
                    <w:left w:val="nil"/>
                    <w:bottom w:val="single" w:sz="4" w:space="0" w:color="auto"/>
                    <w:right w:val="single" w:sz="4" w:space="0" w:color="auto"/>
                  </w:tcBorders>
                  <w:shd w:val="clear" w:color="000000" w:fill="auto"/>
                  <w:noWrap/>
                  <w:vAlign w:val="bottom"/>
                  <w:hideMark/>
                </w:tcPr>
                <w:p w14:paraId="0FB28520"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13,527 </w:t>
                  </w:r>
                </w:p>
              </w:tc>
            </w:tr>
            <w:tr w:rsidR="00E1021E" w:rsidRPr="00E1021E" w14:paraId="21A248BD"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66FCC072"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IP or Obs&gt;=24 or ED Visits</w:t>
                  </w:r>
                </w:p>
              </w:tc>
              <w:tc>
                <w:tcPr>
                  <w:tcW w:w="1681" w:type="dxa"/>
                  <w:tcBorders>
                    <w:top w:val="nil"/>
                    <w:left w:val="nil"/>
                    <w:bottom w:val="single" w:sz="4" w:space="0" w:color="auto"/>
                    <w:right w:val="single" w:sz="4" w:space="0" w:color="auto"/>
                  </w:tcBorders>
                  <w:shd w:val="clear" w:color="000000" w:fill="auto"/>
                  <w:noWrap/>
                  <w:vAlign w:val="bottom"/>
                  <w:hideMark/>
                </w:tcPr>
                <w:p w14:paraId="096FD09A"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13,527 </w:t>
                  </w:r>
                </w:p>
              </w:tc>
            </w:tr>
            <w:tr w:rsidR="00E1021E" w:rsidRPr="00E1021E" w14:paraId="6A3BE8F7" w14:textId="77777777" w:rsidTr="00E1021E">
              <w:trPr>
                <w:trHeight w:val="33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69CD3540"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lastRenderedPageBreak/>
                    <w:t>2+ IP or Obs&gt;=24 or ED Visits Medicare FFS</w:t>
                  </w:r>
                </w:p>
              </w:tc>
              <w:tc>
                <w:tcPr>
                  <w:tcW w:w="1681" w:type="dxa"/>
                  <w:tcBorders>
                    <w:top w:val="nil"/>
                    <w:left w:val="nil"/>
                    <w:bottom w:val="single" w:sz="4" w:space="0" w:color="auto"/>
                    <w:right w:val="single" w:sz="4" w:space="0" w:color="auto"/>
                  </w:tcBorders>
                  <w:shd w:val="clear" w:color="000000" w:fill="auto"/>
                  <w:noWrap/>
                  <w:vAlign w:val="bottom"/>
                  <w:hideMark/>
                </w:tcPr>
                <w:p w14:paraId="0080DA1B"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13,527 </w:t>
                  </w:r>
                </w:p>
              </w:tc>
            </w:tr>
            <w:tr w:rsidR="00E1021E" w:rsidRPr="00E1021E" w14:paraId="1CA5FFBC"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17653D8D"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3+ IP or Obs&gt;=24 Visits</w:t>
                  </w:r>
                </w:p>
              </w:tc>
              <w:tc>
                <w:tcPr>
                  <w:tcW w:w="1681" w:type="dxa"/>
                  <w:tcBorders>
                    <w:top w:val="nil"/>
                    <w:left w:val="nil"/>
                    <w:bottom w:val="single" w:sz="4" w:space="0" w:color="auto"/>
                    <w:right w:val="single" w:sz="4" w:space="0" w:color="auto"/>
                  </w:tcBorders>
                  <w:shd w:val="clear" w:color="000000" w:fill="auto"/>
                  <w:noWrap/>
                  <w:vAlign w:val="bottom"/>
                  <w:hideMark/>
                </w:tcPr>
                <w:p w14:paraId="21F705CB"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13,527 </w:t>
                  </w:r>
                </w:p>
              </w:tc>
            </w:tr>
            <w:tr w:rsidR="00E1021E" w:rsidRPr="00E1021E" w14:paraId="5EC74EAF"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2750919C"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3+ IP or Obs&gt;=24 Visits Medicare FFS</w:t>
                  </w:r>
                </w:p>
              </w:tc>
              <w:tc>
                <w:tcPr>
                  <w:tcW w:w="1681" w:type="dxa"/>
                  <w:tcBorders>
                    <w:top w:val="nil"/>
                    <w:left w:val="nil"/>
                    <w:bottom w:val="single" w:sz="4" w:space="0" w:color="auto"/>
                    <w:right w:val="single" w:sz="4" w:space="0" w:color="auto"/>
                  </w:tcBorders>
                  <w:shd w:val="clear" w:color="000000" w:fill="auto"/>
                  <w:noWrap/>
                  <w:vAlign w:val="bottom"/>
                  <w:hideMark/>
                </w:tcPr>
                <w:p w14:paraId="58EEDDFE"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13,527 </w:t>
                  </w:r>
                </w:p>
              </w:tc>
            </w:tr>
            <w:tr w:rsidR="00E1021E" w:rsidRPr="00E1021E" w14:paraId="0A9A2DCA"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1F22819E"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All Payer</w:t>
                  </w:r>
                </w:p>
              </w:tc>
              <w:tc>
                <w:tcPr>
                  <w:tcW w:w="1681" w:type="dxa"/>
                  <w:tcBorders>
                    <w:top w:val="nil"/>
                    <w:left w:val="nil"/>
                    <w:bottom w:val="single" w:sz="4" w:space="0" w:color="auto"/>
                    <w:right w:val="single" w:sz="4" w:space="0" w:color="auto"/>
                  </w:tcBorders>
                  <w:shd w:val="clear" w:color="000000" w:fill="auto"/>
                  <w:noWrap/>
                  <w:vAlign w:val="bottom"/>
                  <w:hideMark/>
                </w:tcPr>
                <w:p w14:paraId="09D34F69"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13,527 </w:t>
                  </w:r>
                </w:p>
              </w:tc>
            </w:tr>
            <w:tr w:rsidR="00E1021E" w:rsidRPr="00E1021E" w14:paraId="5EB3CEEB"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57DB4C2A"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Medicare FFS</w:t>
                  </w:r>
                </w:p>
              </w:tc>
              <w:tc>
                <w:tcPr>
                  <w:tcW w:w="1681" w:type="dxa"/>
                  <w:tcBorders>
                    <w:top w:val="nil"/>
                    <w:left w:val="nil"/>
                    <w:bottom w:val="single" w:sz="4" w:space="0" w:color="auto"/>
                    <w:right w:val="single" w:sz="4" w:space="0" w:color="auto"/>
                  </w:tcBorders>
                  <w:shd w:val="clear" w:color="000000" w:fill="auto"/>
                  <w:noWrap/>
                  <w:vAlign w:val="bottom"/>
                  <w:hideMark/>
                </w:tcPr>
                <w:p w14:paraId="1305C06D"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13,527 </w:t>
                  </w:r>
                </w:p>
              </w:tc>
            </w:tr>
            <w:tr w:rsidR="00E1021E" w:rsidRPr="00E1021E" w14:paraId="44B070C9" w14:textId="77777777" w:rsidTr="00E1021E">
              <w:trPr>
                <w:trHeight w:val="300"/>
              </w:trPr>
              <w:tc>
                <w:tcPr>
                  <w:tcW w:w="3919" w:type="dxa"/>
                  <w:tcBorders>
                    <w:top w:val="nil"/>
                    <w:left w:val="nil"/>
                    <w:bottom w:val="nil"/>
                    <w:right w:val="nil"/>
                  </w:tcBorders>
                  <w:shd w:val="clear" w:color="000000" w:fill="auto"/>
                  <w:noWrap/>
                  <w:vAlign w:val="bottom"/>
                  <w:hideMark/>
                </w:tcPr>
                <w:p w14:paraId="3315E57D" w14:textId="77777777" w:rsidR="00E1021E" w:rsidRPr="00E1021E" w:rsidRDefault="00E1021E" w:rsidP="00E1021E">
                  <w:pPr>
                    <w:spacing w:after="0" w:line="240" w:lineRule="auto"/>
                    <w:jc w:val="center"/>
                    <w:rPr>
                      <w:rFonts w:ascii="Calibri" w:eastAsia="Times New Roman" w:hAnsi="Calibri" w:cs="Times New Roman"/>
                      <w:color w:val="000000"/>
                    </w:rPr>
                  </w:pPr>
                </w:p>
              </w:tc>
              <w:tc>
                <w:tcPr>
                  <w:tcW w:w="1681" w:type="dxa"/>
                  <w:tcBorders>
                    <w:top w:val="nil"/>
                    <w:left w:val="nil"/>
                    <w:bottom w:val="nil"/>
                    <w:right w:val="nil"/>
                  </w:tcBorders>
                  <w:shd w:val="clear" w:color="000000" w:fill="auto"/>
                  <w:noWrap/>
                  <w:vAlign w:val="bottom"/>
                  <w:hideMark/>
                </w:tcPr>
                <w:p w14:paraId="6A11B743" w14:textId="77777777" w:rsidR="00E1021E" w:rsidRPr="00E1021E" w:rsidRDefault="00E1021E" w:rsidP="00E1021E">
                  <w:pPr>
                    <w:spacing w:after="0" w:line="240" w:lineRule="auto"/>
                    <w:rPr>
                      <w:rFonts w:ascii="Times New Roman" w:eastAsia="Times New Roman" w:hAnsi="Times New Roman" w:cs="Times New Roman"/>
                      <w:sz w:val="20"/>
                      <w:szCs w:val="20"/>
                    </w:rPr>
                  </w:pPr>
                </w:p>
              </w:tc>
            </w:tr>
            <w:tr w:rsidR="00E1021E" w:rsidRPr="00E1021E" w14:paraId="19F2A727" w14:textId="77777777" w:rsidTr="00E1021E">
              <w:trPr>
                <w:trHeight w:val="300"/>
              </w:trPr>
              <w:tc>
                <w:tcPr>
                  <w:tcW w:w="3919" w:type="dxa"/>
                  <w:tcBorders>
                    <w:top w:val="nil"/>
                    <w:left w:val="nil"/>
                    <w:bottom w:val="nil"/>
                    <w:right w:val="nil"/>
                  </w:tcBorders>
                  <w:shd w:val="clear" w:color="000000" w:fill="auto"/>
                  <w:noWrap/>
                  <w:vAlign w:val="bottom"/>
                  <w:hideMark/>
                </w:tcPr>
                <w:p w14:paraId="3FE3BAFE" w14:textId="77777777" w:rsidR="00E1021E" w:rsidRPr="00E1021E" w:rsidRDefault="00E1021E" w:rsidP="00E1021E">
                  <w:pPr>
                    <w:spacing w:after="0" w:line="240" w:lineRule="auto"/>
                    <w:rPr>
                      <w:rFonts w:ascii="Calibri" w:eastAsia="Times New Roman" w:hAnsi="Calibri" w:cs="Times New Roman"/>
                      <w:b/>
                      <w:bCs/>
                      <w:color w:val="000000"/>
                      <w:u w:val="single"/>
                    </w:rPr>
                  </w:pPr>
                  <w:r w:rsidRPr="00E1021E">
                    <w:rPr>
                      <w:rFonts w:ascii="Calibri" w:eastAsia="Times New Roman" w:hAnsi="Calibri" w:cs="Times New Roman"/>
                      <w:b/>
                      <w:bCs/>
                      <w:color w:val="000000"/>
                      <w:u w:val="single"/>
                    </w:rPr>
                    <w:t>GBMC - Support Our Elders</w:t>
                  </w:r>
                </w:p>
              </w:tc>
              <w:tc>
                <w:tcPr>
                  <w:tcW w:w="1681" w:type="dxa"/>
                  <w:tcBorders>
                    <w:top w:val="nil"/>
                    <w:left w:val="nil"/>
                    <w:bottom w:val="nil"/>
                    <w:right w:val="nil"/>
                  </w:tcBorders>
                  <w:shd w:val="clear" w:color="000000" w:fill="auto"/>
                  <w:noWrap/>
                  <w:vAlign w:val="bottom"/>
                  <w:hideMark/>
                </w:tcPr>
                <w:p w14:paraId="1E89724D" w14:textId="77777777" w:rsidR="00E1021E" w:rsidRPr="00E1021E" w:rsidRDefault="00E1021E" w:rsidP="00E1021E">
                  <w:pPr>
                    <w:spacing w:after="0" w:line="240" w:lineRule="auto"/>
                    <w:rPr>
                      <w:rFonts w:ascii="Calibri" w:eastAsia="Times New Roman" w:hAnsi="Calibri" w:cs="Times New Roman"/>
                      <w:b/>
                      <w:bCs/>
                      <w:color w:val="000000"/>
                      <w:u w:val="single"/>
                    </w:rPr>
                  </w:pPr>
                </w:p>
              </w:tc>
            </w:tr>
            <w:tr w:rsidR="00E1021E" w:rsidRPr="00E1021E" w14:paraId="45541809" w14:textId="77777777" w:rsidTr="00E1021E">
              <w:trPr>
                <w:trHeight w:val="300"/>
              </w:trPr>
              <w:tc>
                <w:tcPr>
                  <w:tcW w:w="3919" w:type="dxa"/>
                  <w:tcBorders>
                    <w:top w:val="single" w:sz="4" w:space="0" w:color="auto"/>
                    <w:left w:val="single" w:sz="4" w:space="0" w:color="auto"/>
                    <w:bottom w:val="nil"/>
                    <w:right w:val="single" w:sz="4" w:space="0" w:color="auto"/>
                  </w:tcBorders>
                  <w:shd w:val="clear" w:color="000000" w:fill="FFFFFF"/>
                  <w:vAlign w:val="bottom"/>
                  <w:hideMark/>
                </w:tcPr>
                <w:p w14:paraId="0D0338F8" w14:textId="77777777" w:rsidR="00E1021E" w:rsidRPr="00E1021E" w:rsidRDefault="00E1021E" w:rsidP="00E1021E">
                  <w:pPr>
                    <w:spacing w:after="0" w:line="240" w:lineRule="auto"/>
                    <w:rPr>
                      <w:rFonts w:ascii="Arial" w:eastAsia="Times New Roman" w:hAnsi="Arial" w:cs="Arial"/>
                      <w:b/>
                      <w:bCs/>
                      <w:color w:val="000000"/>
                      <w:sz w:val="20"/>
                      <w:szCs w:val="20"/>
                      <w:u w:val="single"/>
                    </w:rPr>
                  </w:pPr>
                  <w:r w:rsidRPr="00E1021E">
                    <w:rPr>
                      <w:rFonts w:ascii="Arial" w:eastAsia="Times New Roman" w:hAnsi="Arial" w:cs="Arial"/>
                      <w:b/>
                      <w:bCs/>
                      <w:color w:val="000000"/>
                      <w:sz w:val="20"/>
                      <w:szCs w:val="20"/>
                      <w:u w:val="single"/>
                    </w:rPr>
                    <w:t>Metrics</w:t>
                  </w:r>
                </w:p>
              </w:tc>
              <w:tc>
                <w:tcPr>
                  <w:tcW w:w="1681" w:type="dxa"/>
                  <w:tcBorders>
                    <w:top w:val="nil"/>
                    <w:left w:val="nil"/>
                    <w:bottom w:val="nil"/>
                    <w:right w:val="nil"/>
                  </w:tcBorders>
                  <w:shd w:val="clear" w:color="000000" w:fill="auto"/>
                  <w:noWrap/>
                  <w:vAlign w:val="bottom"/>
                  <w:hideMark/>
                </w:tcPr>
                <w:p w14:paraId="4FAD459A" w14:textId="77777777" w:rsidR="00E1021E" w:rsidRPr="00E1021E" w:rsidRDefault="00E1021E" w:rsidP="00E1021E">
                  <w:pPr>
                    <w:spacing w:after="0" w:line="240" w:lineRule="auto"/>
                    <w:rPr>
                      <w:rFonts w:ascii="Arial" w:eastAsia="Times New Roman" w:hAnsi="Arial" w:cs="Arial"/>
                      <w:b/>
                      <w:bCs/>
                      <w:color w:val="000000"/>
                      <w:sz w:val="20"/>
                      <w:szCs w:val="20"/>
                      <w:u w:val="single"/>
                    </w:rPr>
                  </w:pPr>
                </w:p>
              </w:tc>
            </w:tr>
            <w:tr w:rsidR="00E1021E" w:rsidRPr="00E1021E" w14:paraId="12FED1DC" w14:textId="77777777" w:rsidTr="00E1021E">
              <w:trPr>
                <w:trHeight w:val="300"/>
              </w:trPr>
              <w:tc>
                <w:tcPr>
                  <w:tcW w:w="391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AEB1C"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Chronic Conditions and Medicare FFS</w:t>
                  </w:r>
                </w:p>
              </w:tc>
              <w:tc>
                <w:tcPr>
                  <w:tcW w:w="1681" w:type="dxa"/>
                  <w:tcBorders>
                    <w:top w:val="single" w:sz="4" w:space="0" w:color="auto"/>
                    <w:left w:val="nil"/>
                    <w:bottom w:val="single" w:sz="4" w:space="0" w:color="auto"/>
                    <w:right w:val="single" w:sz="4" w:space="0" w:color="auto"/>
                  </w:tcBorders>
                  <w:shd w:val="clear" w:color="000000" w:fill="auto"/>
                  <w:noWrap/>
                  <w:vAlign w:val="bottom"/>
                  <w:hideMark/>
                </w:tcPr>
                <w:p w14:paraId="778A62D7"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15,105 </w:t>
                  </w:r>
                </w:p>
              </w:tc>
            </w:tr>
            <w:tr w:rsidR="00E1021E" w:rsidRPr="00E1021E" w14:paraId="2F0E97D2"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54C5B339"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IP or Obs&gt;=24 or ED Visits</w:t>
                  </w:r>
                </w:p>
              </w:tc>
              <w:tc>
                <w:tcPr>
                  <w:tcW w:w="1681" w:type="dxa"/>
                  <w:tcBorders>
                    <w:top w:val="nil"/>
                    <w:left w:val="nil"/>
                    <w:bottom w:val="single" w:sz="4" w:space="0" w:color="auto"/>
                    <w:right w:val="single" w:sz="4" w:space="0" w:color="auto"/>
                  </w:tcBorders>
                  <w:shd w:val="clear" w:color="000000" w:fill="auto"/>
                  <w:noWrap/>
                  <w:vAlign w:val="bottom"/>
                  <w:hideMark/>
                </w:tcPr>
                <w:p w14:paraId="3F79646E"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15,105 </w:t>
                  </w:r>
                </w:p>
              </w:tc>
            </w:tr>
            <w:tr w:rsidR="00E1021E" w:rsidRPr="00E1021E" w14:paraId="2E8A83F1"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5DE30E2E"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IP or Obs&gt;=24 or ED Visits Medicare FFS</w:t>
                  </w:r>
                </w:p>
              </w:tc>
              <w:tc>
                <w:tcPr>
                  <w:tcW w:w="1681" w:type="dxa"/>
                  <w:tcBorders>
                    <w:top w:val="nil"/>
                    <w:left w:val="nil"/>
                    <w:bottom w:val="single" w:sz="4" w:space="0" w:color="auto"/>
                    <w:right w:val="single" w:sz="4" w:space="0" w:color="auto"/>
                  </w:tcBorders>
                  <w:shd w:val="clear" w:color="000000" w:fill="auto"/>
                  <w:noWrap/>
                  <w:vAlign w:val="bottom"/>
                  <w:hideMark/>
                </w:tcPr>
                <w:p w14:paraId="6AA3F212"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15,105 </w:t>
                  </w:r>
                </w:p>
              </w:tc>
            </w:tr>
            <w:tr w:rsidR="00E1021E" w:rsidRPr="00E1021E" w14:paraId="5E450832"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12F48181"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3+ IP or Obs&gt;=24 Visits</w:t>
                  </w:r>
                </w:p>
              </w:tc>
              <w:tc>
                <w:tcPr>
                  <w:tcW w:w="1681" w:type="dxa"/>
                  <w:tcBorders>
                    <w:top w:val="nil"/>
                    <w:left w:val="nil"/>
                    <w:bottom w:val="single" w:sz="4" w:space="0" w:color="auto"/>
                    <w:right w:val="single" w:sz="4" w:space="0" w:color="auto"/>
                  </w:tcBorders>
                  <w:shd w:val="clear" w:color="000000" w:fill="auto"/>
                  <w:noWrap/>
                  <w:vAlign w:val="bottom"/>
                  <w:hideMark/>
                </w:tcPr>
                <w:p w14:paraId="4918FA3E"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15,105 </w:t>
                  </w:r>
                </w:p>
              </w:tc>
            </w:tr>
            <w:tr w:rsidR="00E1021E" w:rsidRPr="00E1021E" w14:paraId="099843AE"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195840AE"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3+ IP or Obs&gt;=24 Visits Medicare FFS</w:t>
                  </w:r>
                </w:p>
              </w:tc>
              <w:tc>
                <w:tcPr>
                  <w:tcW w:w="1681" w:type="dxa"/>
                  <w:tcBorders>
                    <w:top w:val="nil"/>
                    <w:left w:val="nil"/>
                    <w:bottom w:val="single" w:sz="4" w:space="0" w:color="auto"/>
                    <w:right w:val="single" w:sz="4" w:space="0" w:color="auto"/>
                  </w:tcBorders>
                  <w:shd w:val="clear" w:color="000000" w:fill="auto"/>
                  <w:noWrap/>
                  <w:vAlign w:val="bottom"/>
                  <w:hideMark/>
                </w:tcPr>
                <w:p w14:paraId="69B616DE"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15,105 </w:t>
                  </w:r>
                </w:p>
              </w:tc>
            </w:tr>
            <w:tr w:rsidR="00E1021E" w:rsidRPr="00E1021E" w14:paraId="70564C16"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31691572"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All Payer</w:t>
                  </w:r>
                </w:p>
              </w:tc>
              <w:tc>
                <w:tcPr>
                  <w:tcW w:w="1681" w:type="dxa"/>
                  <w:tcBorders>
                    <w:top w:val="nil"/>
                    <w:left w:val="nil"/>
                    <w:bottom w:val="single" w:sz="4" w:space="0" w:color="auto"/>
                    <w:right w:val="single" w:sz="4" w:space="0" w:color="auto"/>
                  </w:tcBorders>
                  <w:shd w:val="clear" w:color="000000" w:fill="auto"/>
                  <w:noWrap/>
                  <w:vAlign w:val="bottom"/>
                  <w:hideMark/>
                </w:tcPr>
                <w:p w14:paraId="276888D6"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15,105 </w:t>
                  </w:r>
                </w:p>
              </w:tc>
            </w:tr>
            <w:tr w:rsidR="00E1021E" w:rsidRPr="00E1021E" w14:paraId="0F2EB0FA" w14:textId="77777777" w:rsidTr="00E1021E">
              <w:trPr>
                <w:trHeight w:val="300"/>
              </w:trPr>
              <w:tc>
                <w:tcPr>
                  <w:tcW w:w="3919" w:type="dxa"/>
                  <w:tcBorders>
                    <w:top w:val="nil"/>
                    <w:left w:val="single" w:sz="4" w:space="0" w:color="auto"/>
                    <w:bottom w:val="single" w:sz="4" w:space="0" w:color="auto"/>
                    <w:right w:val="single" w:sz="4" w:space="0" w:color="auto"/>
                  </w:tcBorders>
                  <w:shd w:val="clear" w:color="000000" w:fill="FFFFFF"/>
                  <w:vAlign w:val="bottom"/>
                  <w:hideMark/>
                </w:tcPr>
                <w:p w14:paraId="39B1D9BC"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Medicare FFS</w:t>
                  </w:r>
                </w:p>
              </w:tc>
              <w:tc>
                <w:tcPr>
                  <w:tcW w:w="1681" w:type="dxa"/>
                  <w:tcBorders>
                    <w:top w:val="nil"/>
                    <w:left w:val="nil"/>
                    <w:bottom w:val="single" w:sz="4" w:space="0" w:color="auto"/>
                    <w:right w:val="single" w:sz="4" w:space="0" w:color="auto"/>
                  </w:tcBorders>
                  <w:shd w:val="clear" w:color="000000" w:fill="auto"/>
                  <w:noWrap/>
                  <w:vAlign w:val="bottom"/>
                  <w:hideMark/>
                </w:tcPr>
                <w:p w14:paraId="76FAD0F1"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15,105 </w:t>
                  </w:r>
                </w:p>
              </w:tc>
            </w:tr>
          </w:tbl>
          <w:p w14:paraId="64A2E5FD" w14:textId="2D189F30" w:rsidR="00E1021E" w:rsidRPr="00862326" w:rsidRDefault="00E1021E" w:rsidP="00C643E8">
            <w:pPr>
              <w:rPr>
                <w:b/>
              </w:rPr>
            </w:pPr>
          </w:p>
        </w:tc>
      </w:tr>
      <w:tr w:rsidR="00862326" w14:paraId="00203B97" w14:textId="77777777" w:rsidTr="00E54B91">
        <w:tc>
          <w:tcPr>
            <w:tcW w:w="1800" w:type="dxa"/>
          </w:tcPr>
          <w:p w14:paraId="76E222EE" w14:textId="1537A3B6" w:rsidR="00862326" w:rsidRDefault="00862326" w:rsidP="00ED511D">
            <w:r>
              <w:lastRenderedPageBreak/>
              <w:t>ED Visits per capita</w:t>
            </w:r>
          </w:p>
        </w:tc>
        <w:tc>
          <w:tcPr>
            <w:tcW w:w="3235" w:type="dxa"/>
          </w:tcPr>
          <w:p w14:paraId="619A63B0" w14:textId="77777777" w:rsidR="00862326" w:rsidRDefault="00862326" w:rsidP="00C643E8">
            <w:pPr>
              <w:rPr>
                <w:b/>
              </w:rPr>
            </w:pPr>
            <w:r w:rsidRPr="00862326">
              <w:rPr>
                <w:b/>
              </w:rPr>
              <w:t>Ambulatory ED Visits per 1,000</w:t>
            </w:r>
          </w:p>
          <w:p w14:paraId="49EA236E" w14:textId="77777777" w:rsidR="00862326" w:rsidRDefault="00862326" w:rsidP="00862326">
            <w:pPr>
              <w:rPr>
                <w:sz w:val="20"/>
              </w:rPr>
            </w:pPr>
          </w:p>
          <w:p w14:paraId="79CF03E8" w14:textId="77777777" w:rsidR="00862326" w:rsidRPr="00862326" w:rsidRDefault="00862326" w:rsidP="00862326">
            <w:pPr>
              <w:rPr>
                <w:sz w:val="20"/>
              </w:rPr>
            </w:pPr>
            <w:r w:rsidRPr="00862326">
              <w:rPr>
                <w:sz w:val="20"/>
              </w:rPr>
              <w:t>Executive Dashboard:</w:t>
            </w:r>
          </w:p>
          <w:p w14:paraId="15D5E620" w14:textId="77777777" w:rsidR="00862326" w:rsidRDefault="00862326" w:rsidP="00862326">
            <w:pPr>
              <w:rPr>
                <w:sz w:val="20"/>
              </w:rPr>
            </w:pPr>
            <w:r w:rsidRPr="00862326">
              <w:rPr>
                <w:sz w:val="20"/>
              </w:rPr>
              <w:t xml:space="preserve">‘Regional Partnership per Capita Utilization’ – </w:t>
            </w:r>
          </w:p>
          <w:p w14:paraId="365E0994" w14:textId="48910916" w:rsidR="00862326" w:rsidRDefault="00862326" w:rsidP="00862326">
            <w:pPr>
              <w:rPr>
                <w:sz w:val="20"/>
              </w:rPr>
            </w:pPr>
            <w:r w:rsidRPr="00862326">
              <w:rPr>
                <w:sz w:val="20"/>
                <w:u w:val="single"/>
              </w:rPr>
              <w:t>Ambulatory ED Visits per 1,000</w:t>
            </w:r>
            <w:r>
              <w:rPr>
                <w:sz w:val="20"/>
              </w:rPr>
              <w:t>, reported as average 12 months of FY 2018</w:t>
            </w:r>
          </w:p>
          <w:p w14:paraId="7F165B51" w14:textId="77777777" w:rsidR="00862326" w:rsidRDefault="00862326" w:rsidP="00862326">
            <w:pPr>
              <w:rPr>
                <w:sz w:val="20"/>
              </w:rPr>
            </w:pPr>
          </w:p>
          <w:p w14:paraId="25F37EC4" w14:textId="77777777" w:rsidR="00862326" w:rsidRDefault="00862326" w:rsidP="00862326">
            <w:pPr>
              <w:rPr>
                <w:sz w:val="20"/>
              </w:rPr>
            </w:pPr>
            <w:r>
              <w:rPr>
                <w:sz w:val="20"/>
              </w:rPr>
              <w:t>-or-</w:t>
            </w:r>
          </w:p>
          <w:p w14:paraId="0952FE72" w14:textId="77777777" w:rsidR="00862326" w:rsidRDefault="00862326" w:rsidP="00862326">
            <w:pPr>
              <w:rPr>
                <w:sz w:val="20"/>
              </w:rPr>
            </w:pPr>
          </w:p>
          <w:p w14:paraId="7C4B9C62" w14:textId="77777777" w:rsidR="00862326" w:rsidRDefault="00862326" w:rsidP="00862326">
            <w:pPr>
              <w:rPr>
                <w:sz w:val="20"/>
              </w:rPr>
            </w:pPr>
            <w:r>
              <w:rPr>
                <w:sz w:val="20"/>
              </w:rPr>
              <w:t>Analytic File</w:t>
            </w:r>
          </w:p>
          <w:p w14:paraId="7BBB4D31" w14:textId="5F224C3B" w:rsidR="00862326" w:rsidRDefault="00862326" w:rsidP="00862326">
            <w:pPr>
              <w:rPr>
                <w:sz w:val="20"/>
              </w:rPr>
            </w:pPr>
            <w:r>
              <w:rPr>
                <w:sz w:val="20"/>
              </w:rPr>
              <w:t>‘ED Visits’ over ‘Population’</w:t>
            </w:r>
          </w:p>
          <w:p w14:paraId="41D35B6F" w14:textId="226C8FAA" w:rsidR="00862326" w:rsidRPr="00862326" w:rsidRDefault="00862326" w:rsidP="00862326">
            <w:pPr>
              <w:rPr>
                <w:sz w:val="20"/>
              </w:rPr>
            </w:pPr>
            <w:r>
              <w:rPr>
                <w:sz w:val="20"/>
              </w:rPr>
              <w:t>(Column H / Column C)</w:t>
            </w:r>
          </w:p>
          <w:p w14:paraId="5C630C61" w14:textId="41F559C2" w:rsidR="00862326" w:rsidRPr="00862326" w:rsidRDefault="00862326" w:rsidP="00C643E8">
            <w:pPr>
              <w:rPr>
                <w:b/>
              </w:rPr>
            </w:pPr>
          </w:p>
        </w:tc>
        <w:tc>
          <w:tcPr>
            <w:tcW w:w="4320" w:type="dxa"/>
          </w:tcPr>
          <w:p w14:paraId="741FC955" w14:textId="77777777" w:rsidR="00862326" w:rsidRDefault="000D0468" w:rsidP="00862326">
            <w:r>
              <w:t>Using the CRISP Analytic file and instructions, please see below for this metric calculation:</w:t>
            </w:r>
          </w:p>
          <w:tbl>
            <w:tblPr>
              <w:tblW w:w="5840" w:type="dxa"/>
              <w:tblLook w:val="04A0" w:firstRow="1" w:lastRow="0" w:firstColumn="1" w:lastColumn="0" w:noHBand="0" w:noVBand="1"/>
            </w:tblPr>
            <w:tblGrid>
              <w:gridCol w:w="3974"/>
              <w:gridCol w:w="1866"/>
            </w:tblGrid>
            <w:tr w:rsidR="00E1021E" w:rsidRPr="00E1021E" w14:paraId="0A37E804" w14:textId="77777777" w:rsidTr="00E1021E">
              <w:trPr>
                <w:trHeight w:val="2310"/>
              </w:trPr>
              <w:tc>
                <w:tcPr>
                  <w:tcW w:w="397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087DC5D" w14:textId="77777777" w:rsidR="00E1021E" w:rsidRPr="00E1021E" w:rsidRDefault="00E1021E" w:rsidP="00E1021E">
                  <w:pPr>
                    <w:spacing w:after="0" w:line="240" w:lineRule="auto"/>
                    <w:rPr>
                      <w:rFonts w:ascii="Calibri" w:eastAsia="Times New Roman" w:hAnsi="Calibri" w:cs="Times New Roman"/>
                      <w:b/>
                      <w:bCs/>
                      <w:color w:val="000000"/>
                      <w:u w:val="single"/>
                    </w:rPr>
                  </w:pPr>
                  <w:r w:rsidRPr="00E1021E">
                    <w:rPr>
                      <w:rFonts w:ascii="Calibri" w:eastAsia="Times New Roman" w:hAnsi="Calibri" w:cs="Times New Roman"/>
                      <w:b/>
                      <w:bCs/>
                      <w:color w:val="000000"/>
                      <w:u w:val="single"/>
                    </w:rPr>
                    <w:t>GBMC</w:t>
                  </w:r>
                </w:p>
              </w:tc>
              <w:tc>
                <w:tcPr>
                  <w:tcW w:w="1866"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371DB866" w14:textId="77777777" w:rsidR="00E1021E" w:rsidRPr="00E1021E" w:rsidRDefault="00E1021E" w:rsidP="00E1021E">
                  <w:pPr>
                    <w:spacing w:after="0" w:line="240" w:lineRule="auto"/>
                    <w:jc w:val="center"/>
                    <w:rPr>
                      <w:rFonts w:ascii="Arial" w:eastAsia="Times New Roman" w:hAnsi="Arial" w:cs="Arial"/>
                      <w:b/>
                      <w:bCs/>
                      <w:color w:val="0000FF"/>
                      <w:sz w:val="20"/>
                      <w:szCs w:val="20"/>
                    </w:rPr>
                  </w:pPr>
                  <w:r w:rsidRPr="00E1021E">
                    <w:rPr>
                      <w:rFonts w:ascii="Arial" w:eastAsia="Times New Roman" w:hAnsi="Arial" w:cs="Arial"/>
                      <w:b/>
                      <w:bCs/>
                      <w:color w:val="0000FF"/>
                      <w:sz w:val="20"/>
                      <w:szCs w:val="20"/>
                    </w:rPr>
                    <w:t>Ambulatory ED Visits per 1,000</w:t>
                  </w:r>
                </w:p>
              </w:tc>
            </w:tr>
            <w:tr w:rsidR="00E1021E" w:rsidRPr="00E1021E" w14:paraId="0CE816FB" w14:textId="77777777" w:rsidTr="00E1021E">
              <w:trPr>
                <w:trHeight w:val="300"/>
              </w:trPr>
              <w:tc>
                <w:tcPr>
                  <w:tcW w:w="3974" w:type="dxa"/>
                  <w:tcBorders>
                    <w:top w:val="single" w:sz="4" w:space="0" w:color="auto"/>
                    <w:left w:val="single" w:sz="4" w:space="0" w:color="auto"/>
                    <w:bottom w:val="nil"/>
                    <w:right w:val="single" w:sz="4" w:space="0" w:color="auto"/>
                  </w:tcBorders>
                  <w:shd w:val="clear" w:color="000000" w:fill="FFFFFF"/>
                  <w:vAlign w:val="bottom"/>
                  <w:hideMark/>
                </w:tcPr>
                <w:p w14:paraId="1DCC9575" w14:textId="77777777" w:rsidR="00E1021E" w:rsidRPr="00E1021E" w:rsidRDefault="00E1021E" w:rsidP="00E1021E">
                  <w:pPr>
                    <w:spacing w:after="0" w:line="240" w:lineRule="auto"/>
                    <w:rPr>
                      <w:rFonts w:ascii="Arial" w:eastAsia="Times New Roman" w:hAnsi="Arial" w:cs="Arial"/>
                      <w:b/>
                      <w:bCs/>
                      <w:color w:val="000000"/>
                      <w:sz w:val="20"/>
                      <w:szCs w:val="20"/>
                      <w:u w:val="single"/>
                    </w:rPr>
                  </w:pPr>
                  <w:r w:rsidRPr="00E1021E">
                    <w:rPr>
                      <w:rFonts w:ascii="Arial" w:eastAsia="Times New Roman" w:hAnsi="Arial" w:cs="Arial"/>
                      <w:b/>
                      <w:bCs/>
                      <w:color w:val="000000"/>
                      <w:sz w:val="20"/>
                      <w:szCs w:val="20"/>
                      <w:u w:val="single"/>
                    </w:rPr>
                    <w:t>Metrics</w:t>
                  </w:r>
                </w:p>
              </w:tc>
              <w:tc>
                <w:tcPr>
                  <w:tcW w:w="1866" w:type="dxa"/>
                  <w:tcBorders>
                    <w:top w:val="nil"/>
                    <w:left w:val="nil"/>
                    <w:bottom w:val="nil"/>
                    <w:right w:val="nil"/>
                  </w:tcBorders>
                  <w:shd w:val="clear" w:color="000000" w:fill="auto"/>
                  <w:noWrap/>
                  <w:vAlign w:val="bottom"/>
                  <w:hideMark/>
                </w:tcPr>
                <w:p w14:paraId="4C8E5F3A" w14:textId="77777777" w:rsidR="00E1021E" w:rsidRPr="00E1021E" w:rsidRDefault="00E1021E" w:rsidP="00E1021E">
                  <w:pPr>
                    <w:spacing w:after="0" w:line="240" w:lineRule="auto"/>
                    <w:rPr>
                      <w:rFonts w:ascii="Arial" w:eastAsia="Times New Roman" w:hAnsi="Arial" w:cs="Arial"/>
                      <w:b/>
                      <w:bCs/>
                      <w:color w:val="000000"/>
                      <w:sz w:val="20"/>
                      <w:szCs w:val="20"/>
                      <w:u w:val="single"/>
                    </w:rPr>
                  </w:pPr>
                </w:p>
              </w:tc>
            </w:tr>
            <w:tr w:rsidR="00E1021E" w:rsidRPr="00E1021E" w14:paraId="53B071AF" w14:textId="77777777" w:rsidTr="00E1021E">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645AB"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Chronic Conditions and Medicare FFS</w:t>
                  </w:r>
                </w:p>
              </w:tc>
              <w:tc>
                <w:tcPr>
                  <w:tcW w:w="1866" w:type="dxa"/>
                  <w:tcBorders>
                    <w:top w:val="single" w:sz="4" w:space="0" w:color="auto"/>
                    <w:left w:val="nil"/>
                    <w:bottom w:val="single" w:sz="4" w:space="0" w:color="auto"/>
                    <w:right w:val="single" w:sz="4" w:space="0" w:color="auto"/>
                  </w:tcBorders>
                  <w:shd w:val="clear" w:color="000000" w:fill="auto"/>
                  <w:noWrap/>
                  <w:vAlign w:val="bottom"/>
                  <w:hideMark/>
                </w:tcPr>
                <w:p w14:paraId="576B8A96" w14:textId="77777777" w:rsidR="00E1021E" w:rsidRPr="00E1021E" w:rsidRDefault="00E1021E" w:rsidP="00E1021E">
                  <w:pPr>
                    <w:spacing w:after="0" w:line="240" w:lineRule="auto"/>
                    <w:jc w:val="right"/>
                    <w:rPr>
                      <w:rFonts w:ascii="Calibri" w:eastAsia="Times New Roman" w:hAnsi="Calibri" w:cs="Times New Roman"/>
                      <w:color w:val="000000"/>
                    </w:rPr>
                  </w:pPr>
                  <w:r w:rsidRPr="00E1021E">
                    <w:rPr>
                      <w:rFonts w:ascii="Calibri" w:eastAsia="Times New Roman" w:hAnsi="Calibri" w:cs="Times New Roman"/>
                      <w:color w:val="000000"/>
                    </w:rPr>
                    <w:t xml:space="preserve">                     258.55 </w:t>
                  </w:r>
                </w:p>
              </w:tc>
            </w:tr>
            <w:tr w:rsidR="00E1021E" w:rsidRPr="00E1021E" w14:paraId="0CA586B1" w14:textId="77777777" w:rsidTr="00E1021E">
              <w:trPr>
                <w:trHeight w:val="300"/>
              </w:trPr>
              <w:tc>
                <w:tcPr>
                  <w:tcW w:w="3974" w:type="dxa"/>
                  <w:tcBorders>
                    <w:top w:val="nil"/>
                    <w:left w:val="single" w:sz="4" w:space="0" w:color="auto"/>
                    <w:bottom w:val="single" w:sz="4" w:space="0" w:color="auto"/>
                    <w:right w:val="single" w:sz="4" w:space="0" w:color="auto"/>
                  </w:tcBorders>
                  <w:shd w:val="clear" w:color="000000" w:fill="FFFFFF"/>
                  <w:vAlign w:val="bottom"/>
                  <w:hideMark/>
                </w:tcPr>
                <w:p w14:paraId="33063492"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IP or Obs&gt;=24 or ED Visits</w:t>
                  </w:r>
                </w:p>
              </w:tc>
              <w:tc>
                <w:tcPr>
                  <w:tcW w:w="1866" w:type="dxa"/>
                  <w:tcBorders>
                    <w:top w:val="nil"/>
                    <w:left w:val="nil"/>
                    <w:bottom w:val="single" w:sz="4" w:space="0" w:color="auto"/>
                    <w:right w:val="single" w:sz="4" w:space="0" w:color="auto"/>
                  </w:tcBorders>
                  <w:shd w:val="clear" w:color="000000" w:fill="auto"/>
                  <w:noWrap/>
                  <w:vAlign w:val="bottom"/>
                  <w:hideMark/>
                </w:tcPr>
                <w:p w14:paraId="101B9165" w14:textId="77777777" w:rsidR="00E1021E" w:rsidRPr="00E1021E" w:rsidRDefault="00E1021E" w:rsidP="00E1021E">
                  <w:pPr>
                    <w:spacing w:after="0" w:line="240" w:lineRule="auto"/>
                    <w:jc w:val="right"/>
                    <w:rPr>
                      <w:rFonts w:ascii="Calibri" w:eastAsia="Times New Roman" w:hAnsi="Calibri" w:cs="Times New Roman"/>
                      <w:color w:val="000000"/>
                    </w:rPr>
                  </w:pPr>
                  <w:r w:rsidRPr="00E1021E">
                    <w:rPr>
                      <w:rFonts w:ascii="Calibri" w:eastAsia="Times New Roman" w:hAnsi="Calibri" w:cs="Times New Roman"/>
                      <w:color w:val="000000"/>
                    </w:rPr>
                    <w:t xml:space="preserve">                     252.09 </w:t>
                  </w:r>
                </w:p>
              </w:tc>
            </w:tr>
            <w:tr w:rsidR="00E1021E" w:rsidRPr="00E1021E" w14:paraId="1F561CF9" w14:textId="77777777" w:rsidTr="00E1021E">
              <w:trPr>
                <w:trHeight w:val="330"/>
              </w:trPr>
              <w:tc>
                <w:tcPr>
                  <w:tcW w:w="3974" w:type="dxa"/>
                  <w:tcBorders>
                    <w:top w:val="nil"/>
                    <w:left w:val="single" w:sz="4" w:space="0" w:color="auto"/>
                    <w:bottom w:val="single" w:sz="4" w:space="0" w:color="auto"/>
                    <w:right w:val="single" w:sz="4" w:space="0" w:color="auto"/>
                  </w:tcBorders>
                  <w:shd w:val="clear" w:color="000000" w:fill="FFFFFF"/>
                  <w:vAlign w:val="bottom"/>
                  <w:hideMark/>
                </w:tcPr>
                <w:p w14:paraId="452CF437"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IP or Obs&gt;=24 or ED Visits Medicare FFS</w:t>
                  </w:r>
                </w:p>
              </w:tc>
              <w:tc>
                <w:tcPr>
                  <w:tcW w:w="1866" w:type="dxa"/>
                  <w:tcBorders>
                    <w:top w:val="nil"/>
                    <w:left w:val="nil"/>
                    <w:bottom w:val="single" w:sz="4" w:space="0" w:color="auto"/>
                    <w:right w:val="single" w:sz="4" w:space="0" w:color="auto"/>
                  </w:tcBorders>
                  <w:shd w:val="clear" w:color="000000" w:fill="auto"/>
                  <w:noWrap/>
                  <w:vAlign w:val="bottom"/>
                  <w:hideMark/>
                </w:tcPr>
                <w:p w14:paraId="68A1B97F" w14:textId="77777777" w:rsidR="00E1021E" w:rsidRPr="00E1021E" w:rsidRDefault="00E1021E" w:rsidP="00E1021E">
                  <w:pPr>
                    <w:spacing w:after="0" w:line="240" w:lineRule="auto"/>
                    <w:jc w:val="right"/>
                    <w:rPr>
                      <w:rFonts w:ascii="Calibri" w:eastAsia="Times New Roman" w:hAnsi="Calibri" w:cs="Times New Roman"/>
                      <w:color w:val="000000"/>
                    </w:rPr>
                  </w:pPr>
                  <w:r w:rsidRPr="00E1021E">
                    <w:rPr>
                      <w:rFonts w:ascii="Calibri" w:eastAsia="Times New Roman" w:hAnsi="Calibri" w:cs="Times New Roman"/>
                      <w:color w:val="000000"/>
                    </w:rPr>
                    <w:t xml:space="preserve">                     212.94 </w:t>
                  </w:r>
                </w:p>
              </w:tc>
            </w:tr>
            <w:tr w:rsidR="00E1021E" w:rsidRPr="00E1021E" w14:paraId="64B60EB4" w14:textId="77777777" w:rsidTr="00E1021E">
              <w:trPr>
                <w:trHeight w:val="300"/>
              </w:trPr>
              <w:tc>
                <w:tcPr>
                  <w:tcW w:w="3974" w:type="dxa"/>
                  <w:tcBorders>
                    <w:top w:val="nil"/>
                    <w:left w:val="single" w:sz="4" w:space="0" w:color="auto"/>
                    <w:bottom w:val="single" w:sz="4" w:space="0" w:color="auto"/>
                    <w:right w:val="single" w:sz="4" w:space="0" w:color="auto"/>
                  </w:tcBorders>
                  <w:shd w:val="clear" w:color="000000" w:fill="FFFFFF"/>
                  <w:vAlign w:val="bottom"/>
                  <w:hideMark/>
                </w:tcPr>
                <w:p w14:paraId="45A23C25"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3+ IP or Obs&gt;=24 Visits</w:t>
                  </w:r>
                </w:p>
              </w:tc>
              <w:tc>
                <w:tcPr>
                  <w:tcW w:w="1866" w:type="dxa"/>
                  <w:tcBorders>
                    <w:top w:val="nil"/>
                    <w:left w:val="nil"/>
                    <w:bottom w:val="single" w:sz="4" w:space="0" w:color="auto"/>
                    <w:right w:val="single" w:sz="4" w:space="0" w:color="auto"/>
                  </w:tcBorders>
                  <w:shd w:val="clear" w:color="000000" w:fill="auto"/>
                  <w:noWrap/>
                  <w:vAlign w:val="bottom"/>
                  <w:hideMark/>
                </w:tcPr>
                <w:p w14:paraId="7BEA406A" w14:textId="77777777" w:rsidR="00E1021E" w:rsidRPr="00E1021E" w:rsidRDefault="00E1021E" w:rsidP="00E1021E">
                  <w:pPr>
                    <w:spacing w:after="0" w:line="240" w:lineRule="auto"/>
                    <w:jc w:val="right"/>
                    <w:rPr>
                      <w:rFonts w:ascii="Calibri" w:eastAsia="Times New Roman" w:hAnsi="Calibri" w:cs="Times New Roman"/>
                      <w:color w:val="000000"/>
                    </w:rPr>
                  </w:pPr>
                  <w:r w:rsidRPr="00E1021E">
                    <w:rPr>
                      <w:rFonts w:ascii="Calibri" w:eastAsia="Times New Roman" w:hAnsi="Calibri" w:cs="Times New Roman"/>
                      <w:color w:val="000000"/>
                    </w:rPr>
                    <w:t xml:space="preserve">                       31.34 </w:t>
                  </w:r>
                </w:p>
              </w:tc>
            </w:tr>
            <w:tr w:rsidR="00E1021E" w:rsidRPr="00E1021E" w14:paraId="4C447304" w14:textId="77777777" w:rsidTr="00E1021E">
              <w:trPr>
                <w:trHeight w:val="300"/>
              </w:trPr>
              <w:tc>
                <w:tcPr>
                  <w:tcW w:w="3974" w:type="dxa"/>
                  <w:tcBorders>
                    <w:top w:val="nil"/>
                    <w:left w:val="single" w:sz="4" w:space="0" w:color="auto"/>
                    <w:bottom w:val="single" w:sz="4" w:space="0" w:color="auto"/>
                    <w:right w:val="single" w:sz="4" w:space="0" w:color="auto"/>
                  </w:tcBorders>
                  <w:shd w:val="clear" w:color="000000" w:fill="FFFFFF"/>
                  <w:vAlign w:val="bottom"/>
                  <w:hideMark/>
                </w:tcPr>
                <w:p w14:paraId="375EF452"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3+ IP or Obs&gt;=24 Visits Medicare FFS</w:t>
                  </w:r>
                </w:p>
              </w:tc>
              <w:tc>
                <w:tcPr>
                  <w:tcW w:w="1866" w:type="dxa"/>
                  <w:tcBorders>
                    <w:top w:val="nil"/>
                    <w:left w:val="nil"/>
                    <w:bottom w:val="single" w:sz="4" w:space="0" w:color="auto"/>
                    <w:right w:val="single" w:sz="4" w:space="0" w:color="auto"/>
                  </w:tcBorders>
                  <w:shd w:val="clear" w:color="000000" w:fill="auto"/>
                  <w:noWrap/>
                  <w:vAlign w:val="bottom"/>
                  <w:hideMark/>
                </w:tcPr>
                <w:p w14:paraId="50CFBAF7" w14:textId="77777777" w:rsidR="00E1021E" w:rsidRPr="00E1021E" w:rsidRDefault="00E1021E" w:rsidP="00E1021E">
                  <w:pPr>
                    <w:spacing w:after="0" w:line="240" w:lineRule="auto"/>
                    <w:jc w:val="right"/>
                    <w:rPr>
                      <w:rFonts w:ascii="Calibri" w:eastAsia="Times New Roman" w:hAnsi="Calibri" w:cs="Times New Roman"/>
                      <w:color w:val="000000"/>
                    </w:rPr>
                  </w:pPr>
                  <w:r w:rsidRPr="00E1021E">
                    <w:rPr>
                      <w:rFonts w:ascii="Calibri" w:eastAsia="Times New Roman" w:hAnsi="Calibri" w:cs="Times New Roman"/>
                      <w:color w:val="000000"/>
                    </w:rPr>
                    <w:t xml:space="preserve">                       48.84 </w:t>
                  </w:r>
                </w:p>
              </w:tc>
            </w:tr>
            <w:tr w:rsidR="00E1021E" w:rsidRPr="00E1021E" w14:paraId="2FB9E2DB" w14:textId="77777777" w:rsidTr="00E1021E">
              <w:trPr>
                <w:trHeight w:val="300"/>
              </w:trPr>
              <w:tc>
                <w:tcPr>
                  <w:tcW w:w="3974" w:type="dxa"/>
                  <w:tcBorders>
                    <w:top w:val="nil"/>
                    <w:left w:val="single" w:sz="4" w:space="0" w:color="auto"/>
                    <w:bottom w:val="single" w:sz="4" w:space="0" w:color="auto"/>
                    <w:right w:val="single" w:sz="4" w:space="0" w:color="auto"/>
                  </w:tcBorders>
                  <w:shd w:val="clear" w:color="000000" w:fill="FFFFFF"/>
                  <w:vAlign w:val="bottom"/>
                  <w:hideMark/>
                </w:tcPr>
                <w:p w14:paraId="78FD3FC2"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All Payer</w:t>
                  </w:r>
                </w:p>
              </w:tc>
              <w:tc>
                <w:tcPr>
                  <w:tcW w:w="1866" w:type="dxa"/>
                  <w:tcBorders>
                    <w:top w:val="nil"/>
                    <w:left w:val="nil"/>
                    <w:bottom w:val="single" w:sz="4" w:space="0" w:color="auto"/>
                    <w:right w:val="single" w:sz="4" w:space="0" w:color="auto"/>
                  </w:tcBorders>
                  <w:shd w:val="clear" w:color="000000" w:fill="auto"/>
                  <w:noWrap/>
                  <w:vAlign w:val="bottom"/>
                  <w:hideMark/>
                </w:tcPr>
                <w:p w14:paraId="2683F77B" w14:textId="77777777" w:rsidR="00E1021E" w:rsidRPr="00E1021E" w:rsidRDefault="00E1021E" w:rsidP="00E1021E">
                  <w:pPr>
                    <w:spacing w:after="0" w:line="240" w:lineRule="auto"/>
                    <w:jc w:val="right"/>
                    <w:rPr>
                      <w:rFonts w:ascii="Calibri" w:eastAsia="Times New Roman" w:hAnsi="Calibri" w:cs="Times New Roman"/>
                      <w:color w:val="000000"/>
                    </w:rPr>
                  </w:pPr>
                  <w:r w:rsidRPr="00E1021E">
                    <w:rPr>
                      <w:rFonts w:ascii="Calibri" w:eastAsia="Times New Roman" w:hAnsi="Calibri" w:cs="Times New Roman"/>
                      <w:color w:val="000000"/>
                    </w:rPr>
                    <w:t xml:space="preserve">                     376.48 </w:t>
                  </w:r>
                </w:p>
              </w:tc>
            </w:tr>
            <w:tr w:rsidR="00E1021E" w:rsidRPr="00E1021E" w14:paraId="290964D0" w14:textId="77777777" w:rsidTr="00E1021E">
              <w:trPr>
                <w:trHeight w:val="300"/>
              </w:trPr>
              <w:tc>
                <w:tcPr>
                  <w:tcW w:w="3974" w:type="dxa"/>
                  <w:tcBorders>
                    <w:top w:val="nil"/>
                    <w:left w:val="single" w:sz="4" w:space="0" w:color="auto"/>
                    <w:bottom w:val="single" w:sz="4" w:space="0" w:color="auto"/>
                    <w:right w:val="single" w:sz="4" w:space="0" w:color="auto"/>
                  </w:tcBorders>
                  <w:shd w:val="clear" w:color="000000" w:fill="FFFFFF"/>
                  <w:vAlign w:val="bottom"/>
                  <w:hideMark/>
                </w:tcPr>
                <w:p w14:paraId="0940B5BE"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Medicare FFS</w:t>
                  </w:r>
                </w:p>
              </w:tc>
              <w:tc>
                <w:tcPr>
                  <w:tcW w:w="1866" w:type="dxa"/>
                  <w:tcBorders>
                    <w:top w:val="nil"/>
                    <w:left w:val="nil"/>
                    <w:bottom w:val="single" w:sz="4" w:space="0" w:color="auto"/>
                    <w:right w:val="single" w:sz="4" w:space="0" w:color="auto"/>
                  </w:tcBorders>
                  <w:shd w:val="clear" w:color="000000" w:fill="auto"/>
                  <w:noWrap/>
                  <w:vAlign w:val="bottom"/>
                  <w:hideMark/>
                </w:tcPr>
                <w:p w14:paraId="1288E6C2" w14:textId="77777777" w:rsidR="00E1021E" w:rsidRPr="00E1021E" w:rsidRDefault="00E1021E" w:rsidP="00E1021E">
                  <w:pPr>
                    <w:spacing w:after="0" w:line="240" w:lineRule="auto"/>
                    <w:jc w:val="right"/>
                    <w:rPr>
                      <w:rFonts w:ascii="Calibri" w:eastAsia="Times New Roman" w:hAnsi="Calibri" w:cs="Times New Roman"/>
                      <w:color w:val="000000"/>
                    </w:rPr>
                  </w:pPr>
                  <w:r w:rsidRPr="00E1021E">
                    <w:rPr>
                      <w:rFonts w:ascii="Calibri" w:eastAsia="Times New Roman" w:hAnsi="Calibri" w:cs="Times New Roman"/>
                      <w:color w:val="000000"/>
                    </w:rPr>
                    <w:t xml:space="preserve">                     302.32 </w:t>
                  </w:r>
                </w:p>
              </w:tc>
            </w:tr>
            <w:tr w:rsidR="00E1021E" w:rsidRPr="00E1021E" w14:paraId="7520FCFC" w14:textId="77777777" w:rsidTr="00E1021E">
              <w:trPr>
                <w:trHeight w:val="300"/>
              </w:trPr>
              <w:tc>
                <w:tcPr>
                  <w:tcW w:w="3974" w:type="dxa"/>
                  <w:tcBorders>
                    <w:top w:val="nil"/>
                    <w:left w:val="nil"/>
                    <w:bottom w:val="nil"/>
                    <w:right w:val="nil"/>
                  </w:tcBorders>
                  <w:shd w:val="clear" w:color="000000" w:fill="auto"/>
                  <w:noWrap/>
                  <w:vAlign w:val="bottom"/>
                  <w:hideMark/>
                </w:tcPr>
                <w:p w14:paraId="686D4C36" w14:textId="77777777" w:rsidR="00E1021E" w:rsidRPr="00E1021E" w:rsidRDefault="00E1021E" w:rsidP="00E1021E">
                  <w:pPr>
                    <w:spacing w:after="0" w:line="240" w:lineRule="auto"/>
                    <w:jc w:val="center"/>
                    <w:rPr>
                      <w:rFonts w:ascii="Calibri" w:eastAsia="Times New Roman" w:hAnsi="Calibri" w:cs="Times New Roman"/>
                      <w:color w:val="000000"/>
                    </w:rPr>
                  </w:pPr>
                </w:p>
              </w:tc>
              <w:tc>
                <w:tcPr>
                  <w:tcW w:w="1866" w:type="dxa"/>
                  <w:tcBorders>
                    <w:top w:val="nil"/>
                    <w:left w:val="nil"/>
                    <w:bottom w:val="nil"/>
                    <w:right w:val="nil"/>
                  </w:tcBorders>
                  <w:shd w:val="clear" w:color="000000" w:fill="auto"/>
                  <w:noWrap/>
                  <w:vAlign w:val="bottom"/>
                  <w:hideMark/>
                </w:tcPr>
                <w:p w14:paraId="4411ACDA" w14:textId="77777777" w:rsidR="00E1021E" w:rsidRPr="00E1021E" w:rsidRDefault="00E1021E" w:rsidP="00E1021E">
                  <w:pPr>
                    <w:spacing w:after="0" w:line="240" w:lineRule="auto"/>
                    <w:rPr>
                      <w:rFonts w:ascii="Times New Roman" w:eastAsia="Times New Roman" w:hAnsi="Times New Roman" w:cs="Times New Roman"/>
                      <w:sz w:val="20"/>
                      <w:szCs w:val="20"/>
                    </w:rPr>
                  </w:pPr>
                </w:p>
              </w:tc>
            </w:tr>
            <w:tr w:rsidR="00E1021E" w:rsidRPr="00E1021E" w14:paraId="7CF35DD3" w14:textId="77777777" w:rsidTr="00E1021E">
              <w:trPr>
                <w:trHeight w:val="300"/>
              </w:trPr>
              <w:tc>
                <w:tcPr>
                  <w:tcW w:w="3974" w:type="dxa"/>
                  <w:tcBorders>
                    <w:top w:val="nil"/>
                    <w:left w:val="nil"/>
                    <w:bottom w:val="nil"/>
                    <w:right w:val="nil"/>
                  </w:tcBorders>
                  <w:shd w:val="clear" w:color="000000" w:fill="auto"/>
                  <w:noWrap/>
                  <w:vAlign w:val="bottom"/>
                  <w:hideMark/>
                </w:tcPr>
                <w:p w14:paraId="0D964EEE" w14:textId="77777777" w:rsidR="00E1021E" w:rsidRPr="00E1021E" w:rsidRDefault="00E1021E" w:rsidP="00E1021E">
                  <w:pPr>
                    <w:spacing w:after="0" w:line="240" w:lineRule="auto"/>
                    <w:rPr>
                      <w:rFonts w:ascii="Calibri" w:eastAsia="Times New Roman" w:hAnsi="Calibri" w:cs="Times New Roman"/>
                      <w:b/>
                      <w:bCs/>
                      <w:color w:val="000000"/>
                      <w:u w:val="single"/>
                    </w:rPr>
                  </w:pPr>
                  <w:r w:rsidRPr="00E1021E">
                    <w:rPr>
                      <w:rFonts w:ascii="Calibri" w:eastAsia="Times New Roman" w:hAnsi="Calibri" w:cs="Times New Roman"/>
                      <w:b/>
                      <w:bCs/>
                      <w:color w:val="000000"/>
                      <w:u w:val="single"/>
                    </w:rPr>
                    <w:t>GBMC - Support Our Elders</w:t>
                  </w:r>
                </w:p>
              </w:tc>
              <w:tc>
                <w:tcPr>
                  <w:tcW w:w="1866" w:type="dxa"/>
                  <w:tcBorders>
                    <w:top w:val="nil"/>
                    <w:left w:val="nil"/>
                    <w:bottom w:val="nil"/>
                    <w:right w:val="nil"/>
                  </w:tcBorders>
                  <w:shd w:val="clear" w:color="000000" w:fill="auto"/>
                  <w:noWrap/>
                  <w:vAlign w:val="bottom"/>
                  <w:hideMark/>
                </w:tcPr>
                <w:p w14:paraId="5A5EABD8" w14:textId="77777777" w:rsidR="00E1021E" w:rsidRPr="00E1021E" w:rsidRDefault="00E1021E" w:rsidP="00E1021E">
                  <w:pPr>
                    <w:spacing w:after="0" w:line="240" w:lineRule="auto"/>
                    <w:rPr>
                      <w:rFonts w:ascii="Calibri" w:eastAsia="Times New Roman" w:hAnsi="Calibri" w:cs="Times New Roman"/>
                      <w:b/>
                      <w:bCs/>
                      <w:color w:val="000000"/>
                      <w:u w:val="single"/>
                    </w:rPr>
                  </w:pPr>
                </w:p>
              </w:tc>
            </w:tr>
            <w:tr w:rsidR="00E1021E" w:rsidRPr="00E1021E" w14:paraId="2C32C9A8" w14:textId="77777777" w:rsidTr="00E1021E">
              <w:trPr>
                <w:trHeight w:val="300"/>
              </w:trPr>
              <w:tc>
                <w:tcPr>
                  <w:tcW w:w="3974" w:type="dxa"/>
                  <w:tcBorders>
                    <w:top w:val="single" w:sz="4" w:space="0" w:color="auto"/>
                    <w:left w:val="single" w:sz="4" w:space="0" w:color="auto"/>
                    <w:bottom w:val="nil"/>
                    <w:right w:val="single" w:sz="4" w:space="0" w:color="auto"/>
                  </w:tcBorders>
                  <w:shd w:val="clear" w:color="000000" w:fill="FFFFFF"/>
                  <w:vAlign w:val="bottom"/>
                  <w:hideMark/>
                </w:tcPr>
                <w:p w14:paraId="1F63581F" w14:textId="77777777" w:rsidR="00E1021E" w:rsidRPr="00E1021E" w:rsidRDefault="00E1021E" w:rsidP="00E1021E">
                  <w:pPr>
                    <w:spacing w:after="0" w:line="240" w:lineRule="auto"/>
                    <w:rPr>
                      <w:rFonts w:ascii="Arial" w:eastAsia="Times New Roman" w:hAnsi="Arial" w:cs="Arial"/>
                      <w:b/>
                      <w:bCs/>
                      <w:color w:val="000000"/>
                      <w:sz w:val="20"/>
                      <w:szCs w:val="20"/>
                      <w:u w:val="single"/>
                    </w:rPr>
                  </w:pPr>
                  <w:r w:rsidRPr="00E1021E">
                    <w:rPr>
                      <w:rFonts w:ascii="Arial" w:eastAsia="Times New Roman" w:hAnsi="Arial" w:cs="Arial"/>
                      <w:b/>
                      <w:bCs/>
                      <w:color w:val="000000"/>
                      <w:sz w:val="20"/>
                      <w:szCs w:val="20"/>
                      <w:u w:val="single"/>
                    </w:rPr>
                    <w:t>Metrics</w:t>
                  </w:r>
                </w:p>
              </w:tc>
              <w:tc>
                <w:tcPr>
                  <w:tcW w:w="1866" w:type="dxa"/>
                  <w:tcBorders>
                    <w:top w:val="nil"/>
                    <w:left w:val="nil"/>
                    <w:bottom w:val="nil"/>
                    <w:right w:val="nil"/>
                  </w:tcBorders>
                  <w:shd w:val="clear" w:color="000000" w:fill="auto"/>
                  <w:noWrap/>
                  <w:vAlign w:val="bottom"/>
                  <w:hideMark/>
                </w:tcPr>
                <w:p w14:paraId="41386977" w14:textId="77777777" w:rsidR="00E1021E" w:rsidRPr="00E1021E" w:rsidRDefault="00E1021E" w:rsidP="00E1021E">
                  <w:pPr>
                    <w:spacing w:after="0" w:line="240" w:lineRule="auto"/>
                    <w:rPr>
                      <w:rFonts w:ascii="Arial" w:eastAsia="Times New Roman" w:hAnsi="Arial" w:cs="Arial"/>
                      <w:b/>
                      <w:bCs/>
                      <w:color w:val="000000"/>
                      <w:sz w:val="20"/>
                      <w:szCs w:val="20"/>
                      <w:u w:val="single"/>
                    </w:rPr>
                  </w:pPr>
                </w:p>
              </w:tc>
            </w:tr>
            <w:tr w:rsidR="00E1021E" w:rsidRPr="00E1021E" w14:paraId="413FE3C4" w14:textId="77777777" w:rsidTr="00E1021E">
              <w:trPr>
                <w:trHeight w:val="300"/>
              </w:trPr>
              <w:tc>
                <w:tcPr>
                  <w:tcW w:w="39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EFA30"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lastRenderedPageBreak/>
                    <w:t>2+ Chronic Conditions and Medicare FFS</w:t>
                  </w:r>
                </w:p>
              </w:tc>
              <w:tc>
                <w:tcPr>
                  <w:tcW w:w="1866" w:type="dxa"/>
                  <w:tcBorders>
                    <w:top w:val="single" w:sz="4" w:space="0" w:color="auto"/>
                    <w:left w:val="nil"/>
                    <w:bottom w:val="single" w:sz="4" w:space="0" w:color="auto"/>
                    <w:right w:val="single" w:sz="4" w:space="0" w:color="auto"/>
                  </w:tcBorders>
                  <w:shd w:val="clear" w:color="000000" w:fill="auto"/>
                  <w:noWrap/>
                  <w:vAlign w:val="bottom"/>
                  <w:hideMark/>
                </w:tcPr>
                <w:p w14:paraId="4380DA34" w14:textId="77777777" w:rsidR="00E1021E" w:rsidRPr="00E1021E" w:rsidRDefault="00E1021E" w:rsidP="00E1021E">
                  <w:pPr>
                    <w:spacing w:after="0" w:line="240" w:lineRule="auto"/>
                    <w:jc w:val="right"/>
                    <w:rPr>
                      <w:rFonts w:ascii="Calibri" w:eastAsia="Times New Roman" w:hAnsi="Calibri" w:cs="Times New Roman"/>
                      <w:color w:val="000000"/>
                    </w:rPr>
                  </w:pPr>
                  <w:r w:rsidRPr="00E1021E">
                    <w:rPr>
                      <w:rFonts w:ascii="Calibri" w:eastAsia="Times New Roman" w:hAnsi="Calibri" w:cs="Times New Roman"/>
                      <w:color w:val="000000"/>
                    </w:rPr>
                    <w:t xml:space="preserve">                     215.55 </w:t>
                  </w:r>
                </w:p>
              </w:tc>
            </w:tr>
            <w:tr w:rsidR="00E1021E" w:rsidRPr="00E1021E" w14:paraId="7A2E0888" w14:textId="77777777" w:rsidTr="00E1021E">
              <w:trPr>
                <w:trHeight w:val="300"/>
              </w:trPr>
              <w:tc>
                <w:tcPr>
                  <w:tcW w:w="3974" w:type="dxa"/>
                  <w:tcBorders>
                    <w:top w:val="nil"/>
                    <w:left w:val="single" w:sz="4" w:space="0" w:color="auto"/>
                    <w:bottom w:val="single" w:sz="4" w:space="0" w:color="auto"/>
                    <w:right w:val="single" w:sz="4" w:space="0" w:color="auto"/>
                  </w:tcBorders>
                  <w:shd w:val="clear" w:color="000000" w:fill="FFFFFF"/>
                  <w:vAlign w:val="bottom"/>
                  <w:hideMark/>
                </w:tcPr>
                <w:p w14:paraId="4B11BF1A"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IP or Obs&gt;=24 or ED Visits</w:t>
                  </w:r>
                </w:p>
              </w:tc>
              <w:tc>
                <w:tcPr>
                  <w:tcW w:w="1866" w:type="dxa"/>
                  <w:tcBorders>
                    <w:top w:val="nil"/>
                    <w:left w:val="nil"/>
                    <w:bottom w:val="single" w:sz="4" w:space="0" w:color="auto"/>
                    <w:right w:val="single" w:sz="4" w:space="0" w:color="auto"/>
                  </w:tcBorders>
                  <w:shd w:val="clear" w:color="000000" w:fill="auto"/>
                  <w:noWrap/>
                  <w:vAlign w:val="bottom"/>
                  <w:hideMark/>
                </w:tcPr>
                <w:p w14:paraId="02DD2DAD" w14:textId="77777777" w:rsidR="00E1021E" w:rsidRPr="00E1021E" w:rsidRDefault="00E1021E" w:rsidP="00E1021E">
                  <w:pPr>
                    <w:spacing w:after="0" w:line="240" w:lineRule="auto"/>
                    <w:jc w:val="right"/>
                    <w:rPr>
                      <w:rFonts w:ascii="Calibri" w:eastAsia="Times New Roman" w:hAnsi="Calibri" w:cs="Times New Roman"/>
                      <w:color w:val="000000"/>
                    </w:rPr>
                  </w:pPr>
                  <w:r w:rsidRPr="00E1021E">
                    <w:rPr>
                      <w:rFonts w:ascii="Calibri" w:eastAsia="Times New Roman" w:hAnsi="Calibri" w:cs="Times New Roman"/>
                      <w:color w:val="000000"/>
                    </w:rPr>
                    <w:t xml:space="preserve">                     172.75 </w:t>
                  </w:r>
                </w:p>
              </w:tc>
            </w:tr>
            <w:tr w:rsidR="00E1021E" w:rsidRPr="00E1021E" w14:paraId="283B03AE" w14:textId="77777777" w:rsidTr="00E1021E">
              <w:trPr>
                <w:trHeight w:val="300"/>
              </w:trPr>
              <w:tc>
                <w:tcPr>
                  <w:tcW w:w="3974" w:type="dxa"/>
                  <w:tcBorders>
                    <w:top w:val="nil"/>
                    <w:left w:val="single" w:sz="4" w:space="0" w:color="auto"/>
                    <w:bottom w:val="single" w:sz="4" w:space="0" w:color="auto"/>
                    <w:right w:val="single" w:sz="4" w:space="0" w:color="auto"/>
                  </w:tcBorders>
                  <w:shd w:val="clear" w:color="000000" w:fill="FFFFFF"/>
                  <w:vAlign w:val="bottom"/>
                  <w:hideMark/>
                </w:tcPr>
                <w:p w14:paraId="530A3C93"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IP or Obs&gt;=24 or ED Visits Medicare FFS</w:t>
                  </w:r>
                </w:p>
              </w:tc>
              <w:tc>
                <w:tcPr>
                  <w:tcW w:w="1866" w:type="dxa"/>
                  <w:tcBorders>
                    <w:top w:val="nil"/>
                    <w:left w:val="nil"/>
                    <w:bottom w:val="single" w:sz="4" w:space="0" w:color="auto"/>
                    <w:right w:val="single" w:sz="4" w:space="0" w:color="auto"/>
                  </w:tcBorders>
                  <w:shd w:val="clear" w:color="000000" w:fill="auto"/>
                  <w:noWrap/>
                  <w:vAlign w:val="bottom"/>
                  <w:hideMark/>
                </w:tcPr>
                <w:p w14:paraId="4AC2A4D9" w14:textId="77777777" w:rsidR="00E1021E" w:rsidRPr="00E1021E" w:rsidRDefault="00E1021E" w:rsidP="00E1021E">
                  <w:pPr>
                    <w:spacing w:after="0" w:line="240" w:lineRule="auto"/>
                    <w:jc w:val="right"/>
                    <w:rPr>
                      <w:rFonts w:ascii="Calibri" w:eastAsia="Times New Roman" w:hAnsi="Calibri" w:cs="Times New Roman"/>
                      <w:color w:val="000000"/>
                    </w:rPr>
                  </w:pPr>
                  <w:r w:rsidRPr="00E1021E">
                    <w:rPr>
                      <w:rFonts w:ascii="Calibri" w:eastAsia="Times New Roman" w:hAnsi="Calibri" w:cs="Times New Roman"/>
                      <w:color w:val="000000"/>
                    </w:rPr>
                    <w:t xml:space="preserve">                     179.67 </w:t>
                  </w:r>
                </w:p>
              </w:tc>
            </w:tr>
            <w:tr w:rsidR="00E1021E" w:rsidRPr="00E1021E" w14:paraId="2D5976FD" w14:textId="77777777" w:rsidTr="00E1021E">
              <w:trPr>
                <w:trHeight w:val="300"/>
              </w:trPr>
              <w:tc>
                <w:tcPr>
                  <w:tcW w:w="3974" w:type="dxa"/>
                  <w:tcBorders>
                    <w:top w:val="nil"/>
                    <w:left w:val="single" w:sz="4" w:space="0" w:color="auto"/>
                    <w:bottom w:val="single" w:sz="4" w:space="0" w:color="auto"/>
                    <w:right w:val="single" w:sz="4" w:space="0" w:color="auto"/>
                  </w:tcBorders>
                  <w:shd w:val="clear" w:color="000000" w:fill="FFFFFF"/>
                  <w:vAlign w:val="bottom"/>
                  <w:hideMark/>
                </w:tcPr>
                <w:p w14:paraId="7B0904CC"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3+ IP or Obs&gt;=24 Visits</w:t>
                  </w:r>
                </w:p>
              </w:tc>
              <w:tc>
                <w:tcPr>
                  <w:tcW w:w="1866" w:type="dxa"/>
                  <w:tcBorders>
                    <w:top w:val="nil"/>
                    <w:left w:val="nil"/>
                    <w:bottom w:val="single" w:sz="4" w:space="0" w:color="auto"/>
                    <w:right w:val="single" w:sz="4" w:space="0" w:color="auto"/>
                  </w:tcBorders>
                  <w:shd w:val="clear" w:color="000000" w:fill="auto"/>
                  <w:noWrap/>
                  <w:vAlign w:val="bottom"/>
                  <w:hideMark/>
                </w:tcPr>
                <w:p w14:paraId="2409F71A" w14:textId="77777777" w:rsidR="00E1021E" w:rsidRPr="00E1021E" w:rsidRDefault="00E1021E" w:rsidP="00E1021E">
                  <w:pPr>
                    <w:spacing w:after="0" w:line="240" w:lineRule="auto"/>
                    <w:jc w:val="right"/>
                    <w:rPr>
                      <w:rFonts w:ascii="Calibri" w:eastAsia="Times New Roman" w:hAnsi="Calibri" w:cs="Times New Roman"/>
                      <w:color w:val="000000"/>
                    </w:rPr>
                  </w:pPr>
                  <w:r w:rsidRPr="00E1021E">
                    <w:rPr>
                      <w:rFonts w:ascii="Calibri" w:eastAsia="Times New Roman" w:hAnsi="Calibri" w:cs="Times New Roman"/>
                      <w:color w:val="000000"/>
                    </w:rPr>
                    <w:t xml:space="preserve">                       21.28 </w:t>
                  </w:r>
                </w:p>
              </w:tc>
            </w:tr>
            <w:tr w:rsidR="00E1021E" w:rsidRPr="00E1021E" w14:paraId="4582DE1B" w14:textId="77777777" w:rsidTr="00E1021E">
              <w:trPr>
                <w:trHeight w:val="300"/>
              </w:trPr>
              <w:tc>
                <w:tcPr>
                  <w:tcW w:w="3974" w:type="dxa"/>
                  <w:tcBorders>
                    <w:top w:val="nil"/>
                    <w:left w:val="single" w:sz="4" w:space="0" w:color="auto"/>
                    <w:bottom w:val="single" w:sz="4" w:space="0" w:color="auto"/>
                    <w:right w:val="single" w:sz="4" w:space="0" w:color="auto"/>
                  </w:tcBorders>
                  <w:shd w:val="clear" w:color="000000" w:fill="FFFFFF"/>
                  <w:vAlign w:val="bottom"/>
                  <w:hideMark/>
                </w:tcPr>
                <w:p w14:paraId="5C3699E1"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3+ IP or Obs&gt;=24 Visits Medicare FFS</w:t>
                  </w:r>
                </w:p>
              </w:tc>
              <w:tc>
                <w:tcPr>
                  <w:tcW w:w="1866" w:type="dxa"/>
                  <w:tcBorders>
                    <w:top w:val="nil"/>
                    <w:left w:val="nil"/>
                    <w:bottom w:val="single" w:sz="4" w:space="0" w:color="auto"/>
                    <w:right w:val="single" w:sz="4" w:space="0" w:color="auto"/>
                  </w:tcBorders>
                  <w:shd w:val="clear" w:color="000000" w:fill="auto"/>
                  <w:noWrap/>
                  <w:vAlign w:val="bottom"/>
                  <w:hideMark/>
                </w:tcPr>
                <w:p w14:paraId="35BA4201" w14:textId="77777777" w:rsidR="00E1021E" w:rsidRPr="00E1021E" w:rsidRDefault="00E1021E" w:rsidP="00E1021E">
                  <w:pPr>
                    <w:spacing w:after="0" w:line="240" w:lineRule="auto"/>
                    <w:jc w:val="right"/>
                    <w:rPr>
                      <w:rFonts w:ascii="Calibri" w:eastAsia="Times New Roman" w:hAnsi="Calibri" w:cs="Times New Roman"/>
                      <w:color w:val="000000"/>
                    </w:rPr>
                  </w:pPr>
                  <w:r w:rsidRPr="00E1021E">
                    <w:rPr>
                      <w:rFonts w:ascii="Calibri" w:eastAsia="Times New Roman" w:hAnsi="Calibri" w:cs="Times New Roman"/>
                      <w:color w:val="000000"/>
                    </w:rPr>
                    <w:t xml:space="preserve">                       36.86 </w:t>
                  </w:r>
                </w:p>
              </w:tc>
            </w:tr>
            <w:tr w:rsidR="00E1021E" w:rsidRPr="00E1021E" w14:paraId="59474294" w14:textId="77777777" w:rsidTr="00E1021E">
              <w:trPr>
                <w:trHeight w:val="300"/>
              </w:trPr>
              <w:tc>
                <w:tcPr>
                  <w:tcW w:w="3974" w:type="dxa"/>
                  <w:tcBorders>
                    <w:top w:val="nil"/>
                    <w:left w:val="single" w:sz="4" w:space="0" w:color="auto"/>
                    <w:bottom w:val="single" w:sz="4" w:space="0" w:color="auto"/>
                    <w:right w:val="single" w:sz="4" w:space="0" w:color="auto"/>
                  </w:tcBorders>
                  <w:shd w:val="clear" w:color="000000" w:fill="FFFFFF"/>
                  <w:vAlign w:val="bottom"/>
                  <w:hideMark/>
                </w:tcPr>
                <w:p w14:paraId="488F7F0F"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All Payer</w:t>
                  </w:r>
                </w:p>
              </w:tc>
              <w:tc>
                <w:tcPr>
                  <w:tcW w:w="1866" w:type="dxa"/>
                  <w:tcBorders>
                    <w:top w:val="nil"/>
                    <w:left w:val="nil"/>
                    <w:bottom w:val="single" w:sz="4" w:space="0" w:color="auto"/>
                    <w:right w:val="single" w:sz="4" w:space="0" w:color="auto"/>
                  </w:tcBorders>
                  <w:shd w:val="clear" w:color="000000" w:fill="auto"/>
                  <w:noWrap/>
                  <w:vAlign w:val="bottom"/>
                  <w:hideMark/>
                </w:tcPr>
                <w:p w14:paraId="440A46B4" w14:textId="77777777" w:rsidR="00E1021E" w:rsidRPr="00E1021E" w:rsidRDefault="00E1021E" w:rsidP="00E1021E">
                  <w:pPr>
                    <w:spacing w:after="0" w:line="240" w:lineRule="auto"/>
                    <w:jc w:val="right"/>
                    <w:rPr>
                      <w:rFonts w:ascii="Calibri" w:eastAsia="Times New Roman" w:hAnsi="Calibri" w:cs="Times New Roman"/>
                      <w:color w:val="000000"/>
                    </w:rPr>
                  </w:pPr>
                  <w:r w:rsidRPr="00E1021E">
                    <w:rPr>
                      <w:rFonts w:ascii="Calibri" w:eastAsia="Times New Roman" w:hAnsi="Calibri" w:cs="Times New Roman"/>
                      <w:color w:val="000000"/>
                    </w:rPr>
                    <w:t xml:space="preserve">                     277.62 </w:t>
                  </w:r>
                </w:p>
              </w:tc>
            </w:tr>
            <w:tr w:rsidR="00E1021E" w:rsidRPr="00E1021E" w14:paraId="02863D68" w14:textId="77777777" w:rsidTr="00E1021E">
              <w:trPr>
                <w:trHeight w:val="300"/>
              </w:trPr>
              <w:tc>
                <w:tcPr>
                  <w:tcW w:w="3974" w:type="dxa"/>
                  <w:tcBorders>
                    <w:top w:val="nil"/>
                    <w:left w:val="single" w:sz="4" w:space="0" w:color="auto"/>
                    <w:bottom w:val="single" w:sz="4" w:space="0" w:color="auto"/>
                    <w:right w:val="single" w:sz="4" w:space="0" w:color="auto"/>
                  </w:tcBorders>
                  <w:shd w:val="clear" w:color="000000" w:fill="FFFFFF"/>
                  <w:vAlign w:val="bottom"/>
                  <w:hideMark/>
                </w:tcPr>
                <w:p w14:paraId="1DD203C8"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Medicare FFS</w:t>
                  </w:r>
                </w:p>
              </w:tc>
              <w:tc>
                <w:tcPr>
                  <w:tcW w:w="1866" w:type="dxa"/>
                  <w:tcBorders>
                    <w:top w:val="nil"/>
                    <w:left w:val="nil"/>
                    <w:bottom w:val="single" w:sz="4" w:space="0" w:color="auto"/>
                    <w:right w:val="single" w:sz="4" w:space="0" w:color="auto"/>
                  </w:tcBorders>
                  <w:shd w:val="clear" w:color="000000" w:fill="auto"/>
                  <w:noWrap/>
                  <w:vAlign w:val="bottom"/>
                  <w:hideMark/>
                </w:tcPr>
                <w:p w14:paraId="1CE7C53C" w14:textId="77777777" w:rsidR="00E1021E" w:rsidRPr="00E1021E" w:rsidRDefault="00E1021E" w:rsidP="00E1021E">
                  <w:pPr>
                    <w:spacing w:after="0" w:line="240" w:lineRule="auto"/>
                    <w:jc w:val="right"/>
                    <w:rPr>
                      <w:rFonts w:ascii="Calibri" w:eastAsia="Times New Roman" w:hAnsi="Calibri" w:cs="Times New Roman"/>
                      <w:color w:val="000000"/>
                    </w:rPr>
                  </w:pPr>
                  <w:r w:rsidRPr="00E1021E">
                    <w:rPr>
                      <w:rFonts w:ascii="Calibri" w:eastAsia="Times New Roman" w:hAnsi="Calibri" w:cs="Times New Roman"/>
                      <w:color w:val="000000"/>
                    </w:rPr>
                    <w:t xml:space="preserve">                     261.90 </w:t>
                  </w:r>
                </w:p>
              </w:tc>
            </w:tr>
          </w:tbl>
          <w:p w14:paraId="2D207AC3" w14:textId="57886079" w:rsidR="00E1021E" w:rsidRPr="003B7B44" w:rsidRDefault="00E1021E" w:rsidP="00862326"/>
        </w:tc>
      </w:tr>
    </w:tbl>
    <w:p w14:paraId="090755BA" w14:textId="77777777" w:rsidR="00395128" w:rsidRDefault="00395128" w:rsidP="00395128">
      <w:pPr>
        <w:spacing w:line="240" w:lineRule="auto"/>
        <w:contextualSpacing/>
      </w:pPr>
    </w:p>
    <w:p w14:paraId="16B906AA" w14:textId="4E728723" w:rsidR="0098710D" w:rsidRDefault="0073374D" w:rsidP="0073374D">
      <w:pPr>
        <w:pStyle w:val="Heading2"/>
      </w:pPr>
      <w:r>
        <w:t>Quality Indicator Measures</w:t>
      </w:r>
    </w:p>
    <w:tbl>
      <w:tblPr>
        <w:tblStyle w:val="TableGridLight"/>
        <w:tblW w:w="9355" w:type="dxa"/>
        <w:tblCellMar>
          <w:top w:w="115" w:type="dxa"/>
          <w:left w:w="115" w:type="dxa"/>
          <w:bottom w:w="115" w:type="dxa"/>
          <w:right w:w="115" w:type="dxa"/>
        </w:tblCellMar>
        <w:tblLook w:val="04A0" w:firstRow="1" w:lastRow="0" w:firstColumn="1" w:lastColumn="0" w:noHBand="0" w:noVBand="1"/>
      </w:tblPr>
      <w:tblGrid>
        <w:gridCol w:w="1447"/>
        <w:gridCol w:w="1828"/>
        <w:gridCol w:w="6140"/>
      </w:tblGrid>
      <w:tr w:rsidR="00047939" w14:paraId="2BBCD2EE" w14:textId="77777777" w:rsidTr="00E54B91">
        <w:tc>
          <w:tcPr>
            <w:tcW w:w="1800" w:type="dxa"/>
            <w:vAlign w:val="center"/>
          </w:tcPr>
          <w:p w14:paraId="793B2941" w14:textId="77777777" w:rsidR="00047939" w:rsidRDefault="00047939" w:rsidP="00F06190">
            <w:r>
              <w:t>Measure in RFP</w:t>
            </w:r>
          </w:p>
          <w:p w14:paraId="6DAA9FAB" w14:textId="77777777" w:rsidR="00047939" w:rsidRPr="00C643E8" w:rsidRDefault="00047939" w:rsidP="00F06190">
            <w:pPr>
              <w:rPr>
                <w:i/>
              </w:rPr>
            </w:pPr>
            <w:r>
              <w:rPr>
                <w:i/>
                <w:sz w:val="20"/>
              </w:rPr>
              <w:t>(</w:t>
            </w:r>
            <w:r w:rsidRPr="00C643E8">
              <w:rPr>
                <w:i/>
                <w:sz w:val="20"/>
              </w:rPr>
              <w:t>Table 1 in Appendix A of the RFP</w:t>
            </w:r>
            <w:r>
              <w:rPr>
                <w:i/>
                <w:sz w:val="20"/>
              </w:rPr>
              <w:t>)</w:t>
            </w:r>
          </w:p>
        </w:tc>
        <w:tc>
          <w:tcPr>
            <w:tcW w:w="3240" w:type="dxa"/>
            <w:vAlign w:val="center"/>
          </w:tcPr>
          <w:p w14:paraId="45BC431B" w14:textId="77777777" w:rsidR="00047939" w:rsidRPr="00C643E8" w:rsidRDefault="00047939" w:rsidP="00F06190">
            <w:pPr>
              <w:rPr>
                <w:b/>
              </w:rPr>
            </w:pPr>
            <w:r w:rsidRPr="00C643E8">
              <w:rPr>
                <w:b/>
              </w:rPr>
              <w:t>Measure for FY 2018 Reporting</w:t>
            </w:r>
          </w:p>
        </w:tc>
        <w:tc>
          <w:tcPr>
            <w:tcW w:w="4315" w:type="dxa"/>
            <w:vAlign w:val="center"/>
          </w:tcPr>
          <w:p w14:paraId="62673082" w14:textId="77777777" w:rsidR="00047939" w:rsidRDefault="00047939" w:rsidP="00F06190">
            <w:pPr>
              <w:rPr>
                <w:b/>
              </w:rPr>
            </w:pPr>
            <w:r>
              <w:rPr>
                <w:b/>
              </w:rPr>
              <w:t>Outcomes(s)</w:t>
            </w:r>
          </w:p>
        </w:tc>
      </w:tr>
      <w:tr w:rsidR="00047939" w14:paraId="0448072A" w14:textId="77777777" w:rsidTr="00E54B91">
        <w:tc>
          <w:tcPr>
            <w:tcW w:w="1800" w:type="dxa"/>
          </w:tcPr>
          <w:p w14:paraId="05F4B6ED" w14:textId="0869107A" w:rsidR="00047939" w:rsidRDefault="00047939" w:rsidP="000D0468">
            <w:r>
              <w:t>Readmissions</w:t>
            </w:r>
          </w:p>
        </w:tc>
        <w:tc>
          <w:tcPr>
            <w:tcW w:w="3240" w:type="dxa"/>
          </w:tcPr>
          <w:p w14:paraId="181A59FF" w14:textId="170C60EB" w:rsidR="00047939" w:rsidRPr="00B24A6C" w:rsidRDefault="00047939" w:rsidP="000D0468">
            <w:r>
              <w:rPr>
                <w:b/>
              </w:rPr>
              <w:t xml:space="preserve">Unadjusted Readmission rate by Hospital </w:t>
            </w:r>
            <w:r w:rsidR="00B24A6C">
              <w:t xml:space="preserve"> (please be sure to filter to include all hospitals in your RP)</w:t>
            </w:r>
          </w:p>
          <w:p w14:paraId="45FB5272" w14:textId="77777777" w:rsidR="00047939" w:rsidRPr="00862326" w:rsidRDefault="00047939" w:rsidP="000D0468">
            <w:pPr>
              <w:rPr>
                <w:b/>
                <w:sz w:val="20"/>
              </w:rPr>
            </w:pPr>
          </w:p>
          <w:p w14:paraId="5596ABD7" w14:textId="77777777" w:rsidR="00047939" w:rsidRPr="00862326" w:rsidRDefault="00047939" w:rsidP="000D0468">
            <w:pPr>
              <w:rPr>
                <w:sz w:val="20"/>
              </w:rPr>
            </w:pPr>
            <w:r w:rsidRPr="00862326">
              <w:rPr>
                <w:sz w:val="20"/>
              </w:rPr>
              <w:t>Executive Dashboard:</w:t>
            </w:r>
          </w:p>
          <w:p w14:paraId="104B3B70" w14:textId="3C4A8A5A" w:rsidR="00047939" w:rsidRPr="00862326" w:rsidRDefault="00047939" w:rsidP="000D0468">
            <w:pPr>
              <w:rPr>
                <w:sz w:val="20"/>
              </w:rPr>
            </w:pPr>
            <w:r w:rsidRPr="00862326">
              <w:rPr>
                <w:sz w:val="20"/>
              </w:rPr>
              <w:t>‘</w:t>
            </w:r>
            <w:r>
              <w:rPr>
                <w:sz w:val="20"/>
              </w:rPr>
              <w:t>[Partnership] Quality Indicators’</w:t>
            </w:r>
            <w:r w:rsidRPr="00862326">
              <w:rPr>
                <w:sz w:val="20"/>
              </w:rPr>
              <w:t xml:space="preserve"> – </w:t>
            </w:r>
          </w:p>
          <w:p w14:paraId="3133F37B" w14:textId="7FF650D4" w:rsidR="00047939" w:rsidRDefault="00047939" w:rsidP="000D0468">
            <w:pPr>
              <w:rPr>
                <w:sz w:val="20"/>
              </w:rPr>
            </w:pPr>
            <w:r>
              <w:rPr>
                <w:sz w:val="20"/>
                <w:u w:val="single"/>
              </w:rPr>
              <w:t>Unadjusted Readmission Rate by Hospital</w:t>
            </w:r>
            <w:r w:rsidRPr="00862326">
              <w:rPr>
                <w:sz w:val="20"/>
              </w:rPr>
              <w:t>, reported as average 12 months of FY 2018</w:t>
            </w:r>
          </w:p>
          <w:p w14:paraId="31108D93" w14:textId="77777777" w:rsidR="00047939" w:rsidRPr="00862326" w:rsidRDefault="00047939" w:rsidP="000D0468">
            <w:pPr>
              <w:rPr>
                <w:sz w:val="20"/>
              </w:rPr>
            </w:pPr>
          </w:p>
          <w:p w14:paraId="63141CB6" w14:textId="77777777" w:rsidR="00047939" w:rsidRDefault="00047939" w:rsidP="000D0468">
            <w:pPr>
              <w:rPr>
                <w:sz w:val="20"/>
              </w:rPr>
            </w:pPr>
            <w:r w:rsidRPr="00862326">
              <w:rPr>
                <w:sz w:val="20"/>
              </w:rPr>
              <w:t>-or-</w:t>
            </w:r>
          </w:p>
          <w:p w14:paraId="159E69EE" w14:textId="77777777" w:rsidR="00047939" w:rsidRPr="00862326" w:rsidRDefault="00047939" w:rsidP="000D0468">
            <w:pPr>
              <w:rPr>
                <w:sz w:val="20"/>
              </w:rPr>
            </w:pPr>
          </w:p>
          <w:p w14:paraId="795293F1" w14:textId="77777777" w:rsidR="00047939" w:rsidRPr="00862326" w:rsidRDefault="00047939" w:rsidP="000D0468">
            <w:pPr>
              <w:rPr>
                <w:sz w:val="20"/>
              </w:rPr>
            </w:pPr>
            <w:r w:rsidRPr="00862326">
              <w:rPr>
                <w:sz w:val="20"/>
              </w:rPr>
              <w:t>Analytic File:</w:t>
            </w:r>
          </w:p>
          <w:p w14:paraId="70028580" w14:textId="25BC7A76" w:rsidR="00047939" w:rsidRPr="00862326" w:rsidRDefault="00047939" w:rsidP="000D0468">
            <w:pPr>
              <w:rPr>
                <w:sz w:val="20"/>
              </w:rPr>
            </w:pPr>
            <w:r w:rsidRPr="00862326">
              <w:rPr>
                <w:sz w:val="20"/>
              </w:rPr>
              <w:t>‘</w:t>
            </w:r>
            <w:r>
              <w:rPr>
                <w:sz w:val="20"/>
              </w:rPr>
              <w:t>IP Readmit</w:t>
            </w:r>
            <w:r w:rsidRPr="00862326">
              <w:rPr>
                <w:sz w:val="20"/>
              </w:rPr>
              <w:t>’ over ‘</w:t>
            </w:r>
            <w:r>
              <w:rPr>
                <w:sz w:val="20"/>
              </w:rPr>
              <w:t>EligibleforReadmit</w:t>
            </w:r>
            <w:r w:rsidRPr="00862326">
              <w:rPr>
                <w:sz w:val="20"/>
              </w:rPr>
              <w:t>’</w:t>
            </w:r>
          </w:p>
          <w:p w14:paraId="2BC87091" w14:textId="43370981" w:rsidR="00047939" w:rsidRPr="00862326" w:rsidRDefault="00047939" w:rsidP="00047939">
            <w:r w:rsidRPr="00862326">
              <w:rPr>
                <w:sz w:val="20"/>
              </w:rPr>
              <w:t xml:space="preserve">(Column </w:t>
            </w:r>
            <w:r>
              <w:rPr>
                <w:sz w:val="20"/>
              </w:rPr>
              <w:t>J</w:t>
            </w:r>
            <w:r w:rsidRPr="00862326">
              <w:rPr>
                <w:sz w:val="20"/>
              </w:rPr>
              <w:t xml:space="preserve"> / Column </w:t>
            </w:r>
            <w:r>
              <w:rPr>
                <w:sz w:val="20"/>
              </w:rPr>
              <w:t>I</w:t>
            </w:r>
            <w:r w:rsidRPr="00862326">
              <w:rPr>
                <w:sz w:val="20"/>
              </w:rPr>
              <w:t>)</w:t>
            </w:r>
          </w:p>
        </w:tc>
        <w:tc>
          <w:tcPr>
            <w:tcW w:w="4315" w:type="dxa"/>
          </w:tcPr>
          <w:p w14:paraId="76B43729" w14:textId="77777777" w:rsidR="00E1021E" w:rsidRDefault="00E1021E" w:rsidP="00E1021E">
            <w:r>
              <w:t>Using the CRISP Analytic file and instructions, please see below for this metric calculation:</w:t>
            </w:r>
          </w:p>
          <w:tbl>
            <w:tblPr>
              <w:tblW w:w="5360" w:type="dxa"/>
              <w:tblLook w:val="04A0" w:firstRow="1" w:lastRow="0" w:firstColumn="1" w:lastColumn="0" w:noHBand="0" w:noVBand="1"/>
            </w:tblPr>
            <w:tblGrid>
              <w:gridCol w:w="4180"/>
              <w:gridCol w:w="1461"/>
            </w:tblGrid>
            <w:tr w:rsidR="00E1021E" w:rsidRPr="00E1021E" w14:paraId="33029CB8" w14:textId="77777777" w:rsidTr="00E1021E">
              <w:trPr>
                <w:trHeight w:val="2310"/>
              </w:trPr>
              <w:tc>
                <w:tcPr>
                  <w:tcW w:w="41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4FB67B3" w14:textId="77777777" w:rsidR="00E1021E" w:rsidRPr="00E1021E" w:rsidRDefault="00E1021E" w:rsidP="00E1021E">
                  <w:pPr>
                    <w:spacing w:after="0" w:line="240" w:lineRule="auto"/>
                    <w:rPr>
                      <w:rFonts w:ascii="Calibri" w:eastAsia="Times New Roman" w:hAnsi="Calibri" w:cs="Times New Roman"/>
                      <w:b/>
                      <w:bCs/>
                      <w:color w:val="000000"/>
                      <w:u w:val="single"/>
                    </w:rPr>
                  </w:pPr>
                  <w:r w:rsidRPr="00E1021E">
                    <w:rPr>
                      <w:rFonts w:ascii="Calibri" w:eastAsia="Times New Roman" w:hAnsi="Calibri" w:cs="Times New Roman"/>
                      <w:b/>
                      <w:bCs/>
                      <w:color w:val="000000"/>
                      <w:u w:val="single"/>
                    </w:rPr>
                    <w:t>GBMC</w:t>
                  </w:r>
                </w:p>
              </w:tc>
              <w:tc>
                <w:tcPr>
                  <w:tcW w:w="1180"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3BC5EC2F" w14:textId="77777777" w:rsidR="00E1021E" w:rsidRPr="00E1021E" w:rsidRDefault="00E1021E" w:rsidP="00E1021E">
                  <w:pPr>
                    <w:spacing w:after="0" w:line="240" w:lineRule="auto"/>
                    <w:jc w:val="center"/>
                    <w:rPr>
                      <w:rFonts w:ascii="Arial" w:eastAsia="Times New Roman" w:hAnsi="Arial" w:cs="Arial"/>
                      <w:b/>
                      <w:bCs/>
                      <w:color w:val="0000FF"/>
                      <w:sz w:val="20"/>
                      <w:szCs w:val="20"/>
                    </w:rPr>
                  </w:pPr>
                  <w:bookmarkStart w:id="1" w:name="RANGE!F23"/>
                  <w:r w:rsidRPr="00E1021E">
                    <w:rPr>
                      <w:rFonts w:ascii="Arial" w:eastAsia="Times New Roman" w:hAnsi="Arial" w:cs="Arial"/>
                      <w:b/>
                      <w:bCs/>
                      <w:color w:val="0000FF"/>
                      <w:sz w:val="20"/>
                      <w:szCs w:val="20"/>
                    </w:rPr>
                    <w:t>Unadjusted Readmission rate by Hospital</w:t>
                  </w:r>
                  <w:bookmarkEnd w:id="1"/>
                </w:p>
              </w:tc>
            </w:tr>
            <w:tr w:rsidR="00E1021E" w:rsidRPr="00E1021E" w14:paraId="431DA4D1" w14:textId="77777777" w:rsidTr="00E1021E">
              <w:trPr>
                <w:trHeight w:val="300"/>
              </w:trPr>
              <w:tc>
                <w:tcPr>
                  <w:tcW w:w="4180" w:type="dxa"/>
                  <w:tcBorders>
                    <w:top w:val="single" w:sz="4" w:space="0" w:color="auto"/>
                    <w:left w:val="single" w:sz="4" w:space="0" w:color="auto"/>
                    <w:bottom w:val="nil"/>
                    <w:right w:val="single" w:sz="4" w:space="0" w:color="auto"/>
                  </w:tcBorders>
                  <w:shd w:val="clear" w:color="000000" w:fill="FFFFFF"/>
                  <w:vAlign w:val="bottom"/>
                  <w:hideMark/>
                </w:tcPr>
                <w:p w14:paraId="064309ED" w14:textId="77777777" w:rsidR="00E1021E" w:rsidRPr="00E1021E" w:rsidRDefault="00E1021E" w:rsidP="00E1021E">
                  <w:pPr>
                    <w:spacing w:after="0" w:line="240" w:lineRule="auto"/>
                    <w:rPr>
                      <w:rFonts w:ascii="Arial" w:eastAsia="Times New Roman" w:hAnsi="Arial" w:cs="Arial"/>
                      <w:b/>
                      <w:bCs/>
                      <w:color w:val="000000"/>
                      <w:sz w:val="20"/>
                      <w:szCs w:val="20"/>
                      <w:u w:val="single"/>
                    </w:rPr>
                  </w:pPr>
                  <w:r w:rsidRPr="00E1021E">
                    <w:rPr>
                      <w:rFonts w:ascii="Arial" w:eastAsia="Times New Roman" w:hAnsi="Arial" w:cs="Arial"/>
                      <w:b/>
                      <w:bCs/>
                      <w:color w:val="000000"/>
                      <w:sz w:val="20"/>
                      <w:szCs w:val="20"/>
                      <w:u w:val="single"/>
                    </w:rPr>
                    <w:t>Metrics</w:t>
                  </w:r>
                </w:p>
              </w:tc>
              <w:tc>
                <w:tcPr>
                  <w:tcW w:w="1180" w:type="dxa"/>
                  <w:tcBorders>
                    <w:top w:val="nil"/>
                    <w:left w:val="nil"/>
                    <w:bottom w:val="nil"/>
                    <w:right w:val="nil"/>
                  </w:tcBorders>
                  <w:shd w:val="clear" w:color="000000" w:fill="auto"/>
                  <w:noWrap/>
                  <w:vAlign w:val="bottom"/>
                  <w:hideMark/>
                </w:tcPr>
                <w:p w14:paraId="54E07CB9" w14:textId="77777777" w:rsidR="00E1021E" w:rsidRPr="00E1021E" w:rsidRDefault="00E1021E" w:rsidP="00E1021E">
                  <w:pPr>
                    <w:spacing w:after="0" w:line="240" w:lineRule="auto"/>
                    <w:rPr>
                      <w:rFonts w:ascii="Arial" w:eastAsia="Times New Roman" w:hAnsi="Arial" w:cs="Arial"/>
                      <w:b/>
                      <w:bCs/>
                      <w:color w:val="000000"/>
                      <w:sz w:val="20"/>
                      <w:szCs w:val="20"/>
                      <w:u w:val="single"/>
                    </w:rPr>
                  </w:pPr>
                </w:p>
              </w:tc>
            </w:tr>
            <w:tr w:rsidR="00E1021E" w:rsidRPr="00E1021E" w14:paraId="6EDAD672" w14:textId="77777777" w:rsidTr="00E1021E">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8B712"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Chronic Conditions and Medicare FFS</w:t>
                  </w:r>
                </w:p>
              </w:tc>
              <w:tc>
                <w:tcPr>
                  <w:tcW w:w="1180" w:type="dxa"/>
                  <w:tcBorders>
                    <w:top w:val="single" w:sz="4" w:space="0" w:color="auto"/>
                    <w:left w:val="nil"/>
                    <w:bottom w:val="single" w:sz="4" w:space="0" w:color="auto"/>
                    <w:right w:val="single" w:sz="4" w:space="0" w:color="auto"/>
                  </w:tcBorders>
                  <w:shd w:val="clear" w:color="000000" w:fill="auto"/>
                  <w:noWrap/>
                  <w:vAlign w:val="bottom"/>
                  <w:hideMark/>
                </w:tcPr>
                <w:p w14:paraId="77A422E0"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152.11 </w:t>
                  </w:r>
                </w:p>
              </w:tc>
            </w:tr>
            <w:tr w:rsidR="00E1021E" w:rsidRPr="00E1021E" w14:paraId="6FB46612" w14:textId="77777777" w:rsidTr="00E1021E">
              <w:trPr>
                <w:trHeight w:val="300"/>
              </w:trPr>
              <w:tc>
                <w:tcPr>
                  <w:tcW w:w="4180" w:type="dxa"/>
                  <w:tcBorders>
                    <w:top w:val="nil"/>
                    <w:left w:val="single" w:sz="4" w:space="0" w:color="auto"/>
                    <w:bottom w:val="single" w:sz="4" w:space="0" w:color="auto"/>
                    <w:right w:val="single" w:sz="4" w:space="0" w:color="auto"/>
                  </w:tcBorders>
                  <w:shd w:val="clear" w:color="000000" w:fill="FFFFFF"/>
                  <w:vAlign w:val="bottom"/>
                  <w:hideMark/>
                </w:tcPr>
                <w:p w14:paraId="5C61C2FB"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IP or Obs&gt;=24 or ED Visits</w:t>
                  </w:r>
                </w:p>
              </w:tc>
              <w:tc>
                <w:tcPr>
                  <w:tcW w:w="1180" w:type="dxa"/>
                  <w:tcBorders>
                    <w:top w:val="nil"/>
                    <w:left w:val="nil"/>
                    <w:bottom w:val="single" w:sz="4" w:space="0" w:color="auto"/>
                    <w:right w:val="single" w:sz="4" w:space="0" w:color="auto"/>
                  </w:tcBorders>
                  <w:shd w:val="clear" w:color="000000" w:fill="auto"/>
                  <w:noWrap/>
                  <w:vAlign w:val="bottom"/>
                  <w:hideMark/>
                </w:tcPr>
                <w:p w14:paraId="2D8202DB"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189.37 </w:t>
                  </w:r>
                </w:p>
              </w:tc>
            </w:tr>
            <w:tr w:rsidR="00E1021E" w:rsidRPr="00E1021E" w14:paraId="6CAE985C" w14:textId="77777777" w:rsidTr="00E1021E">
              <w:trPr>
                <w:trHeight w:val="330"/>
              </w:trPr>
              <w:tc>
                <w:tcPr>
                  <w:tcW w:w="4180" w:type="dxa"/>
                  <w:tcBorders>
                    <w:top w:val="nil"/>
                    <w:left w:val="single" w:sz="4" w:space="0" w:color="auto"/>
                    <w:bottom w:val="single" w:sz="4" w:space="0" w:color="auto"/>
                    <w:right w:val="single" w:sz="4" w:space="0" w:color="auto"/>
                  </w:tcBorders>
                  <w:shd w:val="clear" w:color="000000" w:fill="FFFFFF"/>
                  <w:vAlign w:val="bottom"/>
                  <w:hideMark/>
                </w:tcPr>
                <w:p w14:paraId="76BCAA8F"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IP or Obs&gt;=24 or ED Visits Medicare FFS</w:t>
                  </w:r>
                </w:p>
              </w:tc>
              <w:tc>
                <w:tcPr>
                  <w:tcW w:w="1180" w:type="dxa"/>
                  <w:tcBorders>
                    <w:top w:val="nil"/>
                    <w:left w:val="nil"/>
                    <w:bottom w:val="single" w:sz="4" w:space="0" w:color="auto"/>
                    <w:right w:val="single" w:sz="4" w:space="0" w:color="auto"/>
                  </w:tcBorders>
                  <w:shd w:val="clear" w:color="000000" w:fill="auto"/>
                  <w:noWrap/>
                  <w:vAlign w:val="bottom"/>
                  <w:hideMark/>
                </w:tcPr>
                <w:p w14:paraId="3EE8310D"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196.03 </w:t>
                  </w:r>
                </w:p>
              </w:tc>
            </w:tr>
            <w:tr w:rsidR="00E1021E" w:rsidRPr="00E1021E" w14:paraId="7A7F77E8" w14:textId="77777777" w:rsidTr="00E1021E">
              <w:trPr>
                <w:trHeight w:val="300"/>
              </w:trPr>
              <w:tc>
                <w:tcPr>
                  <w:tcW w:w="4180" w:type="dxa"/>
                  <w:tcBorders>
                    <w:top w:val="nil"/>
                    <w:left w:val="single" w:sz="4" w:space="0" w:color="auto"/>
                    <w:bottom w:val="single" w:sz="4" w:space="0" w:color="auto"/>
                    <w:right w:val="single" w:sz="4" w:space="0" w:color="auto"/>
                  </w:tcBorders>
                  <w:shd w:val="clear" w:color="000000" w:fill="FFFFFF"/>
                  <w:vAlign w:val="bottom"/>
                  <w:hideMark/>
                </w:tcPr>
                <w:p w14:paraId="0117FD0F"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3+ IP or Obs&gt;=24 Visits</w:t>
                  </w:r>
                </w:p>
              </w:tc>
              <w:tc>
                <w:tcPr>
                  <w:tcW w:w="1180" w:type="dxa"/>
                  <w:tcBorders>
                    <w:top w:val="nil"/>
                    <w:left w:val="nil"/>
                    <w:bottom w:val="single" w:sz="4" w:space="0" w:color="auto"/>
                    <w:right w:val="single" w:sz="4" w:space="0" w:color="auto"/>
                  </w:tcBorders>
                  <w:shd w:val="clear" w:color="000000" w:fill="auto"/>
                  <w:noWrap/>
                  <w:vAlign w:val="bottom"/>
                  <w:hideMark/>
                </w:tcPr>
                <w:p w14:paraId="1053D0D7"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331.89 </w:t>
                  </w:r>
                </w:p>
              </w:tc>
            </w:tr>
            <w:tr w:rsidR="00E1021E" w:rsidRPr="00E1021E" w14:paraId="28A78199" w14:textId="77777777" w:rsidTr="00E1021E">
              <w:trPr>
                <w:trHeight w:val="300"/>
              </w:trPr>
              <w:tc>
                <w:tcPr>
                  <w:tcW w:w="4180" w:type="dxa"/>
                  <w:tcBorders>
                    <w:top w:val="nil"/>
                    <w:left w:val="single" w:sz="4" w:space="0" w:color="auto"/>
                    <w:bottom w:val="single" w:sz="4" w:space="0" w:color="auto"/>
                    <w:right w:val="single" w:sz="4" w:space="0" w:color="auto"/>
                  </w:tcBorders>
                  <w:shd w:val="clear" w:color="000000" w:fill="FFFFFF"/>
                  <w:vAlign w:val="bottom"/>
                  <w:hideMark/>
                </w:tcPr>
                <w:p w14:paraId="072806A5"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3+ IP or Obs&gt;=24 Visits Medicare FFS</w:t>
                  </w:r>
                </w:p>
              </w:tc>
              <w:tc>
                <w:tcPr>
                  <w:tcW w:w="1180" w:type="dxa"/>
                  <w:tcBorders>
                    <w:top w:val="nil"/>
                    <w:left w:val="nil"/>
                    <w:bottom w:val="single" w:sz="4" w:space="0" w:color="auto"/>
                    <w:right w:val="single" w:sz="4" w:space="0" w:color="auto"/>
                  </w:tcBorders>
                  <w:shd w:val="clear" w:color="000000" w:fill="auto"/>
                  <w:noWrap/>
                  <w:vAlign w:val="bottom"/>
                  <w:hideMark/>
                </w:tcPr>
                <w:p w14:paraId="25938D7C"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299.33 </w:t>
                  </w:r>
                </w:p>
              </w:tc>
            </w:tr>
            <w:tr w:rsidR="00E1021E" w:rsidRPr="00E1021E" w14:paraId="0B61C36C" w14:textId="77777777" w:rsidTr="00E1021E">
              <w:trPr>
                <w:trHeight w:val="300"/>
              </w:trPr>
              <w:tc>
                <w:tcPr>
                  <w:tcW w:w="4180" w:type="dxa"/>
                  <w:tcBorders>
                    <w:top w:val="nil"/>
                    <w:left w:val="single" w:sz="4" w:space="0" w:color="auto"/>
                    <w:bottom w:val="single" w:sz="4" w:space="0" w:color="auto"/>
                    <w:right w:val="single" w:sz="4" w:space="0" w:color="auto"/>
                  </w:tcBorders>
                  <w:shd w:val="clear" w:color="000000" w:fill="FFFFFF"/>
                  <w:vAlign w:val="bottom"/>
                  <w:hideMark/>
                </w:tcPr>
                <w:p w14:paraId="3D23A339"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All Payer</w:t>
                  </w:r>
                </w:p>
              </w:tc>
              <w:tc>
                <w:tcPr>
                  <w:tcW w:w="1180" w:type="dxa"/>
                  <w:tcBorders>
                    <w:top w:val="nil"/>
                    <w:left w:val="nil"/>
                    <w:bottom w:val="single" w:sz="4" w:space="0" w:color="auto"/>
                    <w:right w:val="single" w:sz="4" w:space="0" w:color="auto"/>
                  </w:tcBorders>
                  <w:shd w:val="clear" w:color="000000" w:fill="auto"/>
                  <w:noWrap/>
                  <w:vAlign w:val="bottom"/>
                  <w:hideMark/>
                </w:tcPr>
                <w:p w14:paraId="1B3996FA"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132.70 </w:t>
                  </w:r>
                </w:p>
              </w:tc>
            </w:tr>
            <w:tr w:rsidR="00E1021E" w:rsidRPr="00E1021E" w14:paraId="4B1E4E7C" w14:textId="77777777" w:rsidTr="00E1021E">
              <w:trPr>
                <w:trHeight w:val="300"/>
              </w:trPr>
              <w:tc>
                <w:tcPr>
                  <w:tcW w:w="4180" w:type="dxa"/>
                  <w:tcBorders>
                    <w:top w:val="nil"/>
                    <w:left w:val="single" w:sz="4" w:space="0" w:color="auto"/>
                    <w:bottom w:val="single" w:sz="4" w:space="0" w:color="auto"/>
                    <w:right w:val="single" w:sz="4" w:space="0" w:color="auto"/>
                  </w:tcBorders>
                  <w:shd w:val="clear" w:color="000000" w:fill="FFFFFF"/>
                  <w:vAlign w:val="bottom"/>
                  <w:hideMark/>
                </w:tcPr>
                <w:p w14:paraId="4092CE77"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Medicare FFS</w:t>
                  </w:r>
                </w:p>
              </w:tc>
              <w:tc>
                <w:tcPr>
                  <w:tcW w:w="1180" w:type="dxa"/>
                  <w:tcBorders>
                    <w:top w:val="nil"/>
                    <w:left w:val="nil"/>
                    <w:bottom w:val="single" w:sz="4" w:space="0" w:color="auto"/>
                    <w:right w:val="single" w:sz="4" w:space="0" w:color="auto"/>
                  </w:tcBorders>
                  <w:shd w:val="clear" w:color="000000" w:fill="auto"/>
                  <w:noWrap/>
                  <w:vAlign w:val="bottom"/>
                  <w:hideMark/>
                </w:tcPr>
                <w:p w14:paraId="5B0788F7"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145.63 </w:t>
                  </w:r>
                </w:p>
              </w:tc>
            </w:tr>
            <w:tr w:rsidR="00E1021E" w:rsidRPr="00E1021E" w14:paraId="2BEDEF95" w14:textId="77777777" w:rsidTr="00E1021E">
              <w:trPr>
                <w:trHeight w:val="300"/>
              </w:trPr>
              <w:tc>
                <w:tcPr>
                  <w:tcW w:w="4180" w:type="dxa"/>
                  <w:tcBorders>
                    <w:top w:val="nil"/>
                    <w:left w:val="nil"/>
                    <w:bottom w:val="nil"/>
                    <w:right w:val="nil"/>
                  </w:tcBorders>
                  <w:shd w:val="clear" w:color="000000" w:fill="auto"/>
                  <w:noWrap/>
                  <w:vAlign w:val="bottom"/>
                  <w:hideMark/>
                </w:tcPr>
                <w:p w14:paraId="64B5D452" w14:textId="77777777" w:rsidR="00E1021E" w:rsidRPr="00E1021E" w:rsidRDefault="00E1021E" w:rsidP="00E1021E">
                  <w:pPr>
                    <w:spacing w:after="0" w:line="240" w:lineRule="auto"/>
                    <w:jc w:val="center"/>
                    <w:rPr>
                      <w:rFonts w:ascii="Calibri" w:eastAsia="Times New Roman" w:hAnsi="Calibri" w:cs="Times New Roman"/>
                      <w:color w:val="000000"/>
                    </w:rPr>
                  </w:pPr>
                </w:p>
              </w:tc>
              <w:tc>
                <w:tcPr>
                  <w:tcW w:w="1180" w:type="dxa"/>
                  <w:tcBorders>
                    <w:top w:val="nil"/>
                    <w:left w:val="nil"/>
                    <w:bottom w:val="nil"/>
                    <w:right w:val="nil"/>
                  </w:tcBorders>
                  <w:shd w:val="clear" w:color="000000" w:fill="auto"/>
                  <w:noWrap/>
                  <w:vAlign w:val="bottom"/>
                  <w:hideMark/>
                </w:tcPr>
                <w:p w14:paraId="2E9F2F7F" w14:textId="77777777" w:rsidR="00E1021E" w:rsidRPr="00E1021E" w:rsidRDefault="00E1021E" w:rsidP="00E1021E">
                  <w:pPr>
                    <w:spacing w:after="0" w:line="240" w:lineRule="auto"/>
                    <w:rPr>
                      <w:rFonts w:ascii="Times New Roman" w:eastAsia="Times New Roman" w:hAnsi="Times New Roman" w:cs="Times New Roman"/>
                      <w:sz w:val="20"/>
                      <w:szCs w:val="20"/>
                    </w:rPr>
                  </w:pPr>
                </w:p>
              </w:tc>
            </w:tr>
            <w:tr w:rsidR="00E1021E" w:rsidRPr="00E1021E" w14:paraId="4DCDC5E2" w14:textId="77777777" w:rsidTr="00E1021E">
              <w:trPr>
                <w:trHeight w:val="300"/>
              </w:trPr>
              <w:tc>
                <w:tcPr>
                  <w:tcW w:w="4180" w:type="dxa"/>
                  <w:tcBorders>
                    <w:top w:val="nil"/>
                    <w:left w:val="nil"/>
                    <w:bottom w:val="nil"/>
                    <w:right w:val="nil"/>
                  </w:tcBorders>
                  <w:shd w:val="clear" w:color="000000" w:fill="auto"/>
                  <w:noWrap/>
                  <w:vAlign w:val="bottom"/>
                  <w:hideMark/>
                </w:tcPr>
                <w:p w14:paraId="620CF5CD" w14:textId="77777777" w:rsidR="00E1021E" w:rsidRPr="00E1021E" w:rsidRDefault="00E1021E" w:rsidP="00E1021E">
                  <w:pPr>
                    <w:spacing w:after="0" w:line="240" w:lineRule="auto"/>
                    <w:rPr>
                      <w:rFonts w:ascii="Calibri" w:eastAsia="Times New Roman" w:hAnsi="Calibri" w:cs="Times New Roman"/>
                      <w:b/>
                      <w:bCs/>
                      <w:color w:val="000000"/>
                      <w:u w:val="single"/>
                    </w:rPr>
                  </w:pPr>
                  <w:r w:rsidRPr="00E1021E">
                    <w:rPr>
                      <w:rFonts w:ascii="Calibri" w:eastAsia="Times New Roman" w:hAnsi="Calibri" w:cs="Times New Roman"/>
                      <w:b/>
                      <w:bCs/>
                      <w:color w:val="000000"/>
                      <w:u w:val="single"/>
                    </w:rPr>
                    <w:t>GBMC - Support Our Elders</w:t>
                  </w:r>
                </w:p>
              </w:tc>
              <w:tc>
                <w:tcPr>
                  <w:tcW w:w="1180" w:type="dxa"/>
                  <w:tcBorders>
                    <w:top w:val="nil"/>
                    <w:left w:val="nil"/>
                    <w:bottom w:val="nil"/>
                    <w:right w:val="nil"/>
                  </w:tcBorders>
                  <w:shd w:val="clear" w:color="000000" w:fill="auto"/>
                  <w:noWrap/>
                  <w:vAlign w:val="bottom"/>
                  <w:hideMark/>
                </w:tcPr>
                <w:p w14:paraId="263EAF09" w14:textId="77777777" w:rsidR="00E1021E" w:rsidRPr="00E1021E" w:rsidRDefault="00E1021E" w:rsidP="00E1021E">
                  <w:pPr>
                    <w:spacing w:after="0" w:line="240" w:lineRule="auto"/>
                    <w:rPr>
                      <w:rFonts w:ascii="Calibri" w:eastAsia="Times New Roman" w:hAnsi="Calibri" w:cs="Times New Roman"/>
                      <w:b/>
                      <w:bCs/>
                      <w:color w:val="000000"/>
                      <w:u w:val="single"/>
                    </w:rPr>
                  </w:pPr>
                </w:p>
              </w:tc>
            </w:tr>
            <w:tr w:rsidR="00E1021E" w:rsidRPr="00E1021E" w14:paraId="2D27098A" w14:textId="77777777" w:rsidTr="00E1021E">
              <w:trPr>
                <w:trHeight w:val="300"/>
              </w:trPr>
              <w:tc>
                <w:tcPr>
                  <w:tcW w:w="4180" w:type="dxa"/>
                  <w:tcBorders>
                    <w:top w:val="single" w:sz="4" w:space="0" w:color="auto"/>
                    <w:left w:val="single" w:sz="4" w:space="0" w:color="auto"/>
                    <w:bottom w:val="nil"/>
                    <w:right w:val="single" w:sz="4" w:space="0" w:color="auto"/>
                  </w:tcBorders>
                  <w:shd w:val="clear" w:color="000000" w:fill="FFFFFF"/>
                  <w:vAlign w:val="bottom"/>
                  <w:hideMark/>
                </w:tcPr>
                <w:p w14:paraId="6A2D523B" w14:textId="77777777" w:rsidR="00E1021E" w:rsidRPr="00E1021E" w:rsidRDefault="00E1021E" w:rsidP="00E1021E">
                  <w:pPr>
                    <w:spacing w:after="0" w:line="240" w:lineRule="auto"/>
                    <w:rPr>
                      <w:rFonts w:ascii="Arial" w:eastAsia="Times New Roman" w:hAnsi="Arial" w:cs="Arial"/>
                      <w:b/>
                      <w:bCs/>
                      <w:color w:val="000000"/>
                      <w:sz w:val="20"/>
                      <w:szCs w:val="20"/>
                      <w:u w:val="single"/>
                    </w:rPr>
                  </w:pPr>
                  <w:r w:rsidRPr="00E1021E">
                    <w:rPr>
                      <w:rFonts w:ascii="Arial" w:eastAsia="Times New Roman" w:hAnsi="Arial" w:cs="Arial"/>
                      <w:b/>
                      <w:bCs/>
                      <w:color w:val="000000"/>
                      <w:sz w:val="20"/>
                      <w:szCs w:val="20"/>
                      <w:u w:val="single"/>
                    </w:rPr>
                    <w:t>Metrics</w:t>
                  </w:r>
                </w:p>
              </w:tc>
              <w:tc>
                <w:tcPr>
                  <w:tcW w:w="1180" w:type="dxa"/>
                  <w:tcBorders>
                    <w:top w:val="nil"/>
                    <w:left w:val="nil"/>
                    <w:bottom w:val="nil"/>
                    <w:right w:val="nil"/>
                  </w:tcBorders>
                  <w:shd w:val="clear" w:color="000000" w:fill="auto"/>
                  <w:noWrap/>
                  <w:vAlign w:val="bottom"/>
                  <w:hideMark/>
                </w:tcPr>
                <w:p w14:paraId="67B8872F" w14:textId="77777777" w:rsidR="00E1021E" w:rsidRPr="00E1021E" w:rsidRDefault="00E1021E" w:rsidP="00E1021E">
                  <w:pPr>
                    <w:spacing w:after="0" w:line="240" w:lineRule="auto"/>
                    <w:rPr>
                      <w:rFonts w:ascii="Arial" w:eastAsia="Times New Roman" w:hAnsi="Arial" w:cs="Arial"/>
                      <w:b/>
                      <w:bCs/>
                      <w:color w:val="000000"/>
                      <w:sz w:val="20"/>
                      <w:szCs w:val="20"/>
                      <w:u w:val="single"/>
                    </w:rPr>
                  </w:pPr>
                </w:p>
              </w:tc>
            </w:tr>
            <w:tr w:rsidR="00E1021E" w:rsidRPr="00E1021E" w14:paraId="412FE084" w14:textId="77777777" w:rsidTr="00E1021E">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5C973"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Chronic Conditions and Medicare FFS</w:t>
                  </w:r>
                </w:p>
              </w:tc>
              <w:tc>
                <w:tcPr>
                  <w:tcW w:w="1180" w:type="dxa"/>
                  <w:tcBorders>
                    <w:top w:val="single" w:sz="4" w:space="0" w:color="auto"/>
                    <w:left w:val="nil"/>
                    <w:bottom w:val="single" w:sz="4" w:space="0" w:color="auto"/>
                    <w:right w:val="single" w:sz="4" w:space="0" w:color="auto"/>
                  </w:tcBorders>
                  <w:shd w:val="clear" w:color="000000" w:fill="auto"/>
                  <w:noWrap/>
                  <w:vAlign w:val="bottom"/>
                  <w:hideMark/>
                </w:tcPr>
                <w:p w14:paraId="6C2E2434"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143.21 </w:t>
                  </w:r>
                </w:p>
              </w:tc>
            </w:tr>
            <w:tr w:rsidR="00E1021E" w:rsidRPr="00E1021E" w14:paraId="1E661EB5" w14:textId="77777777" w:rsidTr="00E1021E">
              <w:trPr>
                <w:trHeight w:val="300"/>
              </w:trPr>
              <w:tc>
                <w:tcPr>
                  <w:tcW w:w="4180" w:type="dxa"/>
                  <w:tcBorders>
                    <w:top w:val="nil"/>
                    <w:left w:val="single" w:sz="4" w:space="0" w:color="auto"/>
                    <w:bottom w:val="single" w:sz="4" w:space="0" w:color="auto"/>
                    <w:right w:val="single" w:sz="4" w:space="0" w:color="auto"/>
                  </w:tcBorders>
                  <w:shd w:val="clear" w:color="000000" w:fill="FFFFFF"/>
                  <w:vAlign w:val="bottom"/>
                  <w:hideMark/>
                </w:tcPr>
                <w:p w14:paraId="64C50B15"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lastRenderedPageBreak/>
                    <w:t>2+ IP or Obs&gt;=24 or ED Visits</w:t>
                  </w:r>
                </w:p>
              </w:tc>
              <w:tc>
                <w:tcPr>
                  <w:tcW w:w="1180" w:type="dxa"/>
                  <w:tcBorders>
                    <w:top w:val="nil"/>
                    <w:left w:val="nil"/>
                    <w:bottom w:val="single" w:sz="4" w:space="0" w:color="auto"/>
                    <w:right w:val="single" w:sz="4" w:space="0" w:color="auto"/>
                  </w:tcBorders>
                  <w:shd w:val="clear" w:color="000000" w:fill="auto"/>
                  <w:noWrap/>
                  <w:vAlign w:val="bottom"/>
                  <w:hideMark/>
                </w:tcPr>
                <w:p w14:paraId="76470A61"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177.74 </w:t>
                  </w:r>
                </w:p>
              </w:tc>
            </w:tr>
            <w:tr w:rsidR="00E1021E" w:rsidRPr="00E1021E" w14:paraId="17D8843B" w14:textId="77777777" w:rsidTr="00E1021E">
              <w:trPr>
                <w:trHeight w:val="300"/>
              </w:trPr>
              <w:tc>
                <w:tcPr>
                  <w:tcW w:w="4180" w:type="dxa"/>
                  <w:tcBorders>
                    <w:top w:val="nil"/>
                    <w:left w:val="single" w:sz="4" w:space="0" w:color="auto"/>
                    <w:bottom w:val="single" w:sz="4" w:space="0" w:color="auto"/>
                    <w:right w:val="single" w:sz="4" w:space="0" w:color="auto"/>
                  </w:tcBorders>
                  <w:shd w:val="clear" w:color="000000" w:fill="FFFFFF"/>
                  <w:vAlign w:val="bottom"/>
                  <w:hideMark/>
                </w:tcPr>
                <w:p w14:paraId="4EB4B5C8"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IP or Obs&gt;=24 or ED Visits Medicare FFS</w:t>
                  </w:r>
                </w:p>
              </w:tc>
              <w:tc>
                <w:tcPr>
                  <w:tcW w:w="1180" w:type="dxa"/>
                  <w:tcBorders>
                    <w:top w:val="nil"/>
                    <w:left w:val="nil"/>
                    <w:bottom w:val="single" w:sz="4" w:space="0" w:color="auto"/>
                    <w:right w:val="single" w:sz="4" w:space="0" w:color="auto"/>
                  </w:tcBorders>
                  <w:shd w:val="clear" w:color="000000" w:fill="auto"/>
                  <w:noWrap/>
                  <w:vAlign w:val="bottom"/>
                  <w:hideMark/>
                </w:tcPr>
                <w:p w14:paraId="05AEA40F"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186.88 </w:t>
                  </w:r>
                </w:p>
              </w:tc>
            </w:tr>
            <w:tr w:rsidR="00E1021E" w:rsidRPr="00E1021E" w14:paraId="516CBEEE" w14:textId="77777777" w:rsidTr="00E1021E">
              <w:trPr>
                <w:trHeight w:val="300"/>
              </w:trPr>
              <w:tc>
                <w:tcPr>
                  <w:tcW w:w="4180" w:type="dxa"/>
                  <w:tcBorders>
                    <w:top w:val="nil"/>
                    <w:left w:val="single" w:sz="4" w:space="0" w:color="auto"/>
                    <w:bottom w:val="single" w:sz="4" w:space="0" w:color="auto"/>
                    <w:right w:val="single" w:sz="4" w:space="0" w:color="auto"/>
                  </w:tcBorders>
                  <w:shd w:val="clear" w:color="000000" w:fill="FFFFFF"/>
                  <w:vAlign w:val="bottom"/>
                  <w:hideMark/>
                </w:tcPr>
                <w:p w14:paraId="6855886C"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3+ IP or Obs&gt;=24 Visits</w:t>
                  </w:r>
                </w:p>
              </w:tc>
              <w:tc>
                <w:tcPr>
                  <w:tcW w:w="1180" w:type="dxa"/>
                  <w:tcBorders>
                    <w:top w:val="nil"/>
                    <w:left w:val="nil"/>
                    <w:bottom w:val="single" w:sz="4" w:space="0" w:color="auto"/>
                    <w:right w:val="single" w:sz="4" w:space="0" w:color="auto"/>
                  </w:tcBorders>
                  <w:shd w:val="clear" w:color="000000" w:fill="auto"/>
                  <w:noWrap/>
                  <w:vAlign w:val="bottom"/>
                  <w:hideMark/>
                </w:tcPr>
                <w:p w14:paraId="345F91E5"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311.88 </w:t>
                  </w:r>
                </w:p>
              </w:tc>
            </w:tr>
            <w:tr w:rsidR="00E1021E" w:rsidRPr="00E1021E" w14:paraId="13CEBFD5" w14:textId="77777777" w:rsidTr="00E1021E">
              <w:trPr>
                <w:trHeight w:val="300"/>
              </w:trPr>
              <w:tc>
                <w:tcPr>
                  <w:tcW w:w="4180" w:type="dxa"/>
                  <w:tcBorders>
                    <w:top w:val="nil"/>
                    <w:left w:val="single" w:sz="4" w:space="0" w:color="auto"/>
                    <w:bottom w:val="single" w:sz="4" w:space="0" w:color="auto"/>
                    <w:right w:val="single" w:sz="4" w:space="0" w:color="auto"/>
                  </w:tcBorders>
                  <w:shd w:val="clear" w:color="000000" w:fill="FFFFFF"/>
                  <w:vAlign w:val="bottom"/>
                  <w:hideMark/>
                </w:tcPr>
                <w:p w14:paraId="53E587E7"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3+ IP or Obs&gt;=24 Visits Medicare FFS</w:t>
                  </w:r>
                </w:p>
              </w:tc>
              <w:tc>
                <w:tcPr>
                  <w:tcW w:w="1180" w:type="dxa"/>
                  <w:tcBorders>
                    <w:top w:val="nil"/>
                    <w:left w:val="nil"/>
                    <w:bottom w:val="single" w:sz="4" w:space="0" w:color="auto"/>
                    <w:right w:val="single" w:sz="4" w:space="0" w:color="auto"/>
                  </w:tcBorders>
                  <w:shd w:val="clear" w:color="000000" w:fill="auto"/>
                  <w:noWrap/>
                  <w:vAlign w:val="bottom"/>
                  <w:hideMark/>
                </w:tcPr>
                <w:p w14:paraId="279B81C9"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288.15 </w:t>
                  </w:r>
                </w:p>
              </w:tc>
            </w:tr>
            <w:tr w:rsidR="00E1021E" w:rsidRPr="00E1021E" w14:paraId="1AFB2D5C" w14:textId="77777777" w:rsidTr="00E1021E">
              <w:trPr>
                <w:trHeight w:val="300"/>
              </w:trPr>
              <w:tc>
                <w:tcPr>
                  <w:tcW w:w="4180" w:type="dxa"/>
                  <w:tcBorders>
                    <w:top w:val="nil"/>
                    <w:left w:val="single" w:sz="4" w:space="0" w:color="auto"/>
                    <w:bottom w:val="single" w:sz="4" w:space="0" w:color="auto"/>
                    <w:right w:val="single" w:sz="4" w:space="0" w:color="auto"/>
                  </w:tcBorders>
                  <w:shd w:val="clear" w:color="000000" w:fill="FFFFFF"/>
                  <w:vAlign w:val="bottom"/>
                  <w:hideMark/>
                </w:tcPr>
                <w:p w14:paraId="7DA2109D"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All Payer</w:t>
                  </w:r>
                </w:p>
              </w:tc>
              <w:tc>
                <w:tcPr>
                  <w:tcW w:w="1180" w:type="dxa"/>
                  <w:tcBorders>
                    <w:top w:val="nil"/>
                    <w:left w:val="nil"/>
                    <w:bottom w:val="single" w:sz="4" w:space="0" w:color="auto"/>
                    <w:right w:val="single" w:sz="4" w:space="0" w:color="auto"/>
                  </w:tcBorders>
                  <w:shd w:val="clear" w:color="000000" w:fill="auto"/>
                  <w:noWrap/>
                  <w:vAlign w:val="bottom"/>
                  <w:hideMark/>
                </w:tcPr>
                <w:p w14:paraId="4D6446C1"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117.80 </w:t>
                  </w:r>
                </w:p>
              </w:tc>
            </w:tr>
            <w:tr w:rsidR="00E1021E" w:rsidRPr="00E1021E" w14:paraId="3D8C4D86" w14:textId="77777777" w:rsidTr="00E1021E">
              <w:trPr>
                <w:trHeight w:val="300"/>
              </w:trPr>
              <w:tc>
                <w:tcPr>
                  <w:tcW w:w="4180" w:type="dxa"/>
                  <w:tcBorders>
                    <w:top w:val="nil"/>
                    <w:left w:val="single" w:sz="4" w:space="0" w:color="auto"/>
                    <w:bottom w:val="single" w:sz="4" w:space="0" w:color="auto"/>
                    <w:right w:val="single" w:sz="4" w:space="0" w:color="auto"/>
                  </w:tcBorders>
                  <w:shd w:val="clear" w:color="000000" w:fill="FFFFFF"/>
                  <w:vAlign w:val="bottom"/>
                  <w:hideMark/>
                </w:tcPr>
                <w:p w14:paraId="3107F4B2"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Medicare FFS</w:t>
                  </w:r>
                </w:p>
              </w:tc>
              <w:tc>
                <w:tcPr>
                  <w:tcW w:w="1180" w:type="dxa"/>
                  <w:tcBorders>
                    <w:top w:val="nil"/>
                    <w:left w:val="nil"/>
                    <w:bottom w:val="single" w:sz="4" w:space="0" w:color="auto"/>
                    <w:right w:val="single" w:sz="4" w:space="0" w:color="auto"/>
                  </w:tcBorders>
                  <w:shd w:val="clear" w:color="000000" w:fill="auto"/>
                  <w:noWrap/>
                  <w:vAlign w:val="bottom"/>
                  <w:hideMark/>
                </w:tcPr>
                <w:p w14:paraId="19431514"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135.71 </w:t>
                  </w:r>
                </w:p>
              </w:tc>
            </w:tr>
          </w:tbl>
          <w:p w14:paraId="43934843" w14:textId="77777777" w:rsidR="00047939" w:rsidRDefault="00047939" w:rsidP="000D0468"/>
        </w:tc>
      </w:tr>
      <w:tr w:rsidR="00047939" w14:paraId="20C69145" w14:textId="77777777" w:rsidTr="00E54B91">
        <w:tc>
          <w:tcPr>
            <w:tcW w:w="1800" w:type="dxa"/>
          </w:tcPr>
          <w:p w14:paraId="460C9940" w14:textId="7CBFC0C1" w:rsidR="00047939" w:rsidRDefault="00047939" w:rsidP="000D0468">
            <w:r>
              <w:lastRenderedPageBreak/>
              <w:t>PAU</w:t>
            </w:r>
          </w:p>
        </w:tc>
        <w:tc>
          <w:tcPr>
            <w:tcW w:w="3240" w:type="dxa"/>
          </w:tcPr>
          <w:p w14:paraId="6352B142" w14:textId="77777777" w:rsidR="00047939" w:rsidRDefault="00047939" w:rsidP="000D0468">
            <w:pPr>
              <w:rPr>
                <w:b/>
              </w:rPr>
            </w:pPr>
            <w:r>
              <w:rPr>
                <w:b/>
              </w:rPr>
              <w:t>Potentially Avoidable Utilization</w:t>
            </w:r>
          </w:p>
          <w:p w14:paraId="6B1A3E17" w14:textId="77777777" w:rsidR="00047939" w:rsidRPr="00862326" w:rsidRDefault="00047939" w:rsidP="00047939">
            <w:pPr>
              <w:rPr>
                <w:b/>
                <w:sz w:val="20"/>
              </w:rPr>
            </w:pPr>
          </w:p>
          <w:p w14:paraId="68CCF868" w14:textId="77777777" w:rsidR="00047939" w:rsidRPr="00862326" w:rsidRDefault="00047939" w:rsidP="00047939">
            <w:pPr>
              <w:rPr>
                <w:sz w:val="20"/>
              </w:rPr>
            </w:pPr>
            <w:r w:rsidRPr="00862326">
              <w:rPr>
                <w:sz w:val="20"/>
              </w:rPr>
              <w:t>Executive Dashboard:</w:t>
            </w:r>
          </w:p>
          <w:p w14:paraId="1A6297F5" w14:textId="77777777" w:rsidR="00047939" w:rsidRPr="00862326" w:rsidRDefault="00047939" w:rsidP="00047939">
            <w:pPr>
              <w:rPr>
                <w:sz w:val="20"/>
              </w:rPr>
            </w:pPr>
            <w:r w:rsidRPr="00862326">
              <w:rPr>
                <w:sz w:val="20"/>
              </w:rPr>
              <w:t>‘</w:t>
            </w:r>
            <w:r>
              <w:rPr>
                <w:sz w:val="20"/>
              </w:rPr>
              <w:t>[Partnership] Quality Indicators’</w:t>
            </w:r>
            <w:r w:rsidRPr="00862326">
              <w:rPr>
                <w:sz w:val="20"/>
              </w:rPr>
              <w:t xml:space="preserve"> – </w:t>
            </w:r>
          </w:p>
          <w:p w14:paraId="5A59008C" w14:textId="77777777" w:rsidR="00047939" w:rsidRDefault="00047939" w:rsidP="000D0468">
            <w:pPr>
              <w:rPr>
                <w:sz w:val="20"/>
              </w:rPr>
            </w:pPr>
            <w:r w:rsidRPr="00047939">
              <w:rPr>
                <w:sz w:val="20"/>
                <w:u w:val="single"/>
              </w:rPr>
              <w:t>Potentially</w:t>
            </w:r>
            <w:r>
              <w:rPr>
                <w:sz w:val="20"/>
                <w:u w:val="single"/>
              </w:rPr>
              <w:t xml:space="preserve"> Avoidable Utilization</w:t>
            </w:r>
            <w:r>
              <w:rPr>
                <w:sz w:val="20"/>
              </w:rPr>
              <w:t xml:space="preserve">, reported as </w:t>
            </w:r>
            <w:r>
              <w:rPr>
                <w:b/>
                <w:sz w:val="20"/>
              </w:rPr>
              <w:t>sum</w:t>
            </w:r>
            <w:r>
              <w:rPr>
                <w:sz w:val="20"/>
              </w:rPr>
              <w:t xml:space="preserve"> of 12 months of FY 2018</w:t>
            </w:r>
          </w:p>
          <w:p w14:paraId="24514018" w14:textId="77777777" w:rsidR="00047939" w:rsidRDefault="00047939" w:rsidP="000D0468">
            <w:pPr>
              <w:rPr>
                <w:sz w:val="20"/>
              </w:rPr>
            </w:pPr>
          </w:p>
          <w:p w14:paraId="5C149615" w14:textId="77777777" w:rsidR="00047939" w:rsidRDefault="00047939" w:rsidP="000D0468">
            <w:pPr>
              <w:rPr>
                <w:sz w:val="20"/>
              </w:rPr>
            </w:pPr>
            <w:r>
              <w:rPr>
                <w:sz w:val="20"/>
              </w:rPr>
              <w:t>-or-</w:t>
            </w:r>
          </w:p>
          <w:p w14:paraId="3D1423B3" w14:textId="77777777" w:rsidR="00047939" w:rsidRDefault="00047939" w:rsidP="000D0468">
            <w:pPr>
              <w:rPr>
                <w:sz w:val="20"/>
              </w:rPr>
            </w:pPr>
          </w:p>
          <w:p w14:paraId="48AA6357" w14:textId="77777777" w:rsidR="00047939" w:rsidRDefault="00047939" w:rsidP="000D0468">
            <w:pPr>
              <w:rPr>
                <w:sz w:val="20"/>
              </w:rPr>
            </w:pPr>
            <w:r>
              <w:rPr>
                <w:sz w:val="20"/>
              </w:rPr>
              <w:t>Analytic File:</w:t>
            </w:r>
          </w:p>
          <w:p w14:paraId="745318AC" w14:textId="77777777" w:rsidR="00047939" w:rsidRDefault="00047939" w:rsidP="000D0468">
            <w:pPr>
              <w:rPr>
                <w:sz w:val="20"/>
              </w:rPr>
            </w:pPr>
            <w:r>
              <w:rPr>
                <w:sz w:val="20"/>
              </w:rPr>
              <w:t>‘TotalPAUCharges’</w:t>
            </w:r>
          </w:p>
          <w:p w14:paraId="6C5FFFCB" w14:textId="32E667D6" w:rsidR="00047939" w:rsidRPr="00047939" w:rsidRDefault="00047939" w:rsidP="000D0468">
            <w:r>
              <w:rPr>
                <w:sz w:val="20"/>
              </w:rPr>
              <w:t>(Column K)</w:t>
            </w:r>
          </w:p>
        </w:tc>
        <w:tc>
          <w:tcPr>
            <w:tcW w:w="4315" w:type="dxa"/>
          </w:tcPr>
          <w:p w14:paraId="27292F17" w14:textId="77777777" w:rsidR="00E1021E" w:rsidRDefault="00E1021E" w:rsidP="00E1021E">
            <w:r>
              <w:t>Using the CRISP Analytic file and instructions, please see below for this metric calculation:</w:t>
            </w:r>
          </w:p>
          <w:tbl>
            <w:tblPr>
              <w:tblW w:w="5900" w:type="dxa"/>
              <w:tblLook w:val="04A0" w:firstRow="1" w:lastRow="0" w:firstColumn="1" w:lastColumn="0" w:noHBand="0" w:noVBand="1"/>
            </w:tblPr>
            <w:tblGrid>
              <w:gridCol w:w="3892"/>
              <w:gridCol w:w="2008"/>
            </w:tblGrid>
            <w:tr w:rsidR="00E1021E" w:rsidRPr="00E1021E" w14:paraId="5B58D9E1" w14:textId="77777777" w:rsidTr="00E1021E">
              <w:trPr>
                <w:trHeight w:val="2310"/>
              </w:trPr>
              <w:tc>
                <w:tcPr>
                  <w:tcW w:w="389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073B2BB" w14:textId="77777777" w:rsidR="00E1021E" w:rsidRPr="00E1021E" w:rsidRDefault="00E1021E" w:rsidP="00E1021E">
                  <w:pPr>
                    <w:spacing w:after="0" w:line="240" w:lineRule="auto"/>
                    <w:rPr>
                      <w:rFonts w:ascii="Calibri" w:eastAsia="Times New Roman" w:hAnsi="Calibri" w:cs="Times New Roman"/>
                      <w:b/>
                      <w:bCs/>
                      <w:color w:val="000000"/>
                      <w:u w:val="single"/>
                    </w:rPr>
                  </w:pPr>
                  <w:r w:rsidRPr="00E1021E">
                    <w:rPr>
                      <w:rFonts w:ascii="Calibri" w:eastAsia="Times New Roman" w:hAnsi="Calibri" w:cs="Times New Roman"/>
                      <w:b/>
                      <w:bCs/>
                      <w:color w:val="000000"/>
                      <w:u w:val="single"/>
                    </w:rPr>
                    <w:t>GBMC</w:t>
                  </w:r>
                </w:p>
              </w:tc>
              <w:tc>
                <w:tcPr>
                  <w:tcW w:w="2008" w:type="dxa"/>
                  <w:tcBorders>
                    <w:top w:val="single" w:sz="4" w:space="0" w:color="auto"/>
                    <w:left w:val="single" w:sz="4" w:space="0" w:color="auto"/>
                    <w:bottom w:val="single" w:sz="4" w:space="0" w:color="auto"/>
                    <w:right w:val="single" w:sz="4" w:space="0" w:color="auto"/>
                  </w:tcBorders>
                  <w:shd w:val="clear" w:color="000000" w:fill="FFFFCC"/>
                  <w:vAlign w:val="bottom"/>
                  <w:hideMark/>
                </w:tcPr>
                <w:p w14:paraId="319C7C49" w14:textId="77777777" w:rsidR="00E1021E" w:rsidRPr="00E1021E" w:rsidRDefault="00E1021E" w:rsidP="00E1021E">
                  <w:pPr>
                    <w:spacing w:after="0" w:line="240" w:lineRule="auto"/>
                    <w:jc w:val="center"/>
                    <w:rPr>
                      <w:rFonts w:ascii="Arial" w:eastAsia="Times New Roman" w:hAnsi="Arial" w:cs="Arial"/>
                      <w:b/>
                      <w:bCs/>
                      <w:color w:val="0000FF"/>
                      <w:sz w:val="20"/>
                      <w:szCs w:val="20"/>
                    </w:rPr>
                  </w:pPr>
                  <w:r w:rsidRPr="00E1021E">
                    <w:rPr>
                      <w:rFonts w:ascii="Arial" w:eastAsia="Times New Roman" w:hAnsi="Arial" w:cs="Arial"/>
                      <w:b/>
                      <w:bCs/>
                      <w:color w:val="0000FF"/>
                      <w:sz w:val="20"/>
                      <w:szCs w:val="20"/>
                    </w:rPr>
                    <w:t>Potentially Avoidable Utilization</w:t>
                  </w:r>
                </w:p>
              </w:tc>
            </w:tr>
            <w:tr w:rsidR="00E1021E" w:rsidRPr="00E1021E" w14:paraId="1F3804EE" w14:textId="77777777" w:rsidTr="00E1021E">
              <w:trPr>
                <w:trHeight w:val="300"/>
              </w:trPr>
              <w:tc>
                <w:tcPr>
                  <w:tcW w:w="3892" w:type="dxa"/>
                  <w:tcBorders>
                    <w:top w:val="single" w:sz="4" w:space="0" w:color="auto"/>
                    <w:left w:val="single" w:sz="4" w:space="0" w:color="auto"/>
                    <w:bottom w:val="nil"/>
                    <w:right w:val="single" w:sz="4" w:space="0" w:color="auto"/>
                  </w:tcBorders>
                  <w:shd w:val="clear" w:color="000000" w:fill="FFFFFF"/>
                  <w:vAlign w:val="bottom"/>
                  <w:hideMark/>
                </w:tcPr>
                <w:p w14:paraId="7AAB7303" w14:textId="77777777" w:rsidR="00E1021E" w:rsidRPr="00E1021E" w:rsidRDefault="00E1021E" w:rsidP="00E1021E">
                  <w:pPr>
                    <w:spacing w:after="0" w:line="240" w:lineRule="auto"/>
                    <w:rPr>
                      <w:rFonts w:ascii="Arial" w:eastAsia="Times New Roman" w:hAnsi="Arial" w:cs="Arial"/>
                      <w:b/>
                      <w:bCs/>
                      <w:color w:val="000000"/>
                      <w:sz w:val="20"/>
                      <w:szCs w:val="20"/>
                      <w:u w:val="single"/>
                    </w:rPr>
                  </w:pPr>
                  <w:r w:rsidRPr="00E1021E">
                    <w:rPr>
                      <w:rFonts w:ascii="Arial" w:eastAsia="Times New Roman" w:hAnsi="Arial" w:cs="Arial"/>
                      <w:b/>
                      <w:bCs/>
                      <w:color w:val="000000"/>
                      <w:sz w:val="20"/>
                      <w:szCs w:val="20"/>
                      <w:u w:val="single"/>
                    </w:rPr>
                    <w:t>Metrics</w:t>
                  </w:r>
                </w:p>
              </w:tc>
              <w:tc>
                <w:tcPr>
                  <w:tcW w:w="2008" w:type="dxa"/>
                  <w:tcBorders>
                    <w:top w:val="nil"/>
                    <w:left w:val="nil"/>
                    <w:bottom w:val="nil"/>
                    <w:right w:val="nil"/>
                  </w:tcBorders>
                  <w:shd w:val="clear" w:color="000000" w:fill="auto"/>
                  <w:noWrap/>
                  <w:vAlign w:val="bottom"/>
                  <w:hideMark/>
                </w:tcPr>
                <w:p w14:paraId="1E6837F9" w14:textId="77777777" w:rsidR="00E1021E" w:rsidRPr="00E1021E" w:rsidRDefault="00E1021E" w:rsidP="00E1021E">
                  <w:pPr>
                    <w:spacing w:after="0" w:line="240" w:lineRule="auto"/>
                    <w:rPr>
                      <w:rFonts w:ascii="Arial" w:eastAsia="Times New Roman" w:hAnsi="Arial" w:cs="Arial"/>
                      <w:b/>
                      <w:bCs/>
                      <w:color w:val="000000"/>
                      <w:sz w:val="20"/>
                      <w:szCs w:val="20"/>
                      <w:u w:val="single"/>
                    </w:rPr>
                  </w:pPr>
                </w:p>
              </w:tc>
            </w:tr>
            <w:tr w:rsidR="00E1021E" w:rsidRPr="00E1021E" w14:paraId="0C45FE7E" w14:textId="77777777" w:rsidTr="00E1021E">
              <w:trPr>
                <w:trHeight w:val="300"/>
              </w:trPr>
              <w:tc>
                <w:tcPr>
                  <w:tcW w:w="38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1DE26"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Chronic Conditions and Medicare FFS</w:t>
                  </w:r>
                </w:p>
              </w:tc>
              <w:tc>
                <w:tcPr>
                  <w:tcW w:w="2008" w:type="dxa"/>
                  <w:tcBorders>
                    <w:top w:val="single" w:sz="4" w:space="0" w:color="auto"/>
                    <w:left w:val="nil"/>
                    <w:bottom w:val="single" w:sz="4" w:space="0" w:color="auto"/>
                    <w:right w:val="single" w:sz="4" w:space="0" w:color="auto"/>
                  </w:tcBorders>
                  <w:shd w:val="clear" w:color="000000" w:fill="auto"/>
                  <w:noWrap/>
                  <w:vAlign w:val="bottom"/>
                  <w:hideMark/>
                </w:tcPr>
                <w:p w14:paraId="055440C8"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108,463,768 </w:t>
                  </w:r>
                </w:p>
              </w:tc>
            </w:tr>
            <w:tr w:rsidR="00E1021E" w:rsidRPr="00E1021E" w14:paraId="14142A18" w14:textId="77777777" w:rsidTr="00E1021E">
              <w:trPr>
                <w:trHeight w:val="300"/>
              </w:trPr>
              <w:tc>
                <w:tcPr>
                  <w:tcW w:w="3892" w:type="dxa"/>
                  <w:tcBorders>
                    <w:top w:val="nil"/>
                    <w:left w:val="single" w:sz="4" w:space="0" w:color="auto"/>
                    <w:bottom w:val="single" w:sz="4" w:space="0" w:color="auto"/>
                    <w:right w:val="single" w:sz="4" w:space="0" w:color="auto"/>
                  </w:tcBorders>
                  <w:shd w:val="clear" w:color="000000" w:fill="FFFFFF"/>
                  <w:vAlign w:val="bottom"/>
                  <w:hideMark/>
                </w:tcPr>
                <w:p w14:paraId="7440E656"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IP or Obs&gt;=24 or ED Visits</w:t>
                  </w:r>
                </w:p>
              </w:tc>
              <w:tc>
                <w:tcPr>
                  <w:tcW w:w="2008" w:type="dxa"/>
                  <w:tcBorders>
                    <w:top w:val="nil"/>
                    <w:left w:val="nil"/>
                    <w:bottom w:val="single" w:sz="4" w:space="0" w:color="auto"/>
                    <w:right w:val="single" w:sz="4" w:space="0" w:color="auto"/>
                  </w:tcBorders>
                  <w:shd w:val="clear" w:color="000000" w:fill="auto"/>
                  <w:noWrap/>
                  <w:vAlign w:val="bottom"/>
                  <w:hideMark/>
                </w:tcPr>
                <w:p w14:paraId="78D164C7"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247,559,772 </w:t>
                  </w:r>
                </w:p>
              </w:tc>
            </w:tr>
            <w:tr w:rsidR="00E1021E" w:rsidRPr="00E1021E" w14:paraId="33E7A7B5" w14:textId="77777777" w:rsidTr="00E1021E">
              <w:trPr>
                <w:trHeight w:val="330"/>
              </w:trPr>
              <w:tc>
                <w:tcPr>
                  <w:tcW w:w="3892" w:type="dxa"/>
                  <w:tcBorders>
                    <w:top w:val="nil"/>
                    <w:left w:val="single" w:sz="4" w:space="0" w:color="auto"/>
                    <w:bottom w:val="single" w:sz="4" w:space="0" w:color="auto"/>
                    <w:right w:val="single" w:sz="4" w:space="0" w:color="auto"/>
                  </w:tcBorders>
                  <w:shd w:val="clear" w:color="000000" w:fill="FFFFFF"/>
                  <w:vAlign w:val="bottom"/>
                  <w:hideMark/>
                </w:tcPr>
                <w:p w14:paraId="649FA1AD"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IP or Obs&gt;=24 or ED Visits Medicare FFS</w:t>
                  </w:r>
                </w:p>
              </w:tc>
              <w:tc>
                <w:tcPr>
                  <w:tcW w:w="2008" w:type="dxa"/>
                  <w:tcBorders>
                    <w:top w:val="nil"/>
                    <w:left w:val="nil"/>
                    <w:bottom w:val="single" w:sz="4" w:space="0" w:color="auto"/>
                    <w:right w:val="single" w:sz="4" w:space="0" w:color="auto"/>
                  </w:tcBorders>
                  <w:shd w:val="clear" w:color="000000" w:fill="auto"/>
                  <w:noWrap/>
                  <w:vAlign w:val="bottom"/>
                  <w:hideMark/>
                </w:tcPr>
                <w:p w14:paraId="5B0A4436"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97,971,227 </w:t>
                  </w:r>
                </w:p>
              </w:tc>
            </w:tr>
            <w:tr w:rsidR="00E1021E" w:rsidRPr="00E1021E" w14:paraId="115744F9" w14:textId="77777777" w:rsidTr="00E1021E">
              <w:trPr>
                <w:trHeight w:val="300"/>
              </w:trPr>
              <w:tc>
                <w:tcPr>
                  <w:tcW w:w="3892" w:type="dxa"/>
                  <w:tcBorders>
                    <w:top w:val="nil"/>
                    <w:left w:val="single" w:sz="4" w:space="0" w:color="auto"/>
                    <w:bottom w:val="single" w:sz="4" w:space="0" w:color="auto"/>
                    <w:right w:val="single" w:sz="4" w:space="0" w:color="auto"/>
                  </w:tcBorders>
                  <w:shd w:val="clear" w:color="000000" w:fill="FFFFFF"/>
                  <w:vAlign w:val="bottom"/>
                  <w:hideMark/>
                </w:tcPr>
                <w:p w14:paraId="5919874B"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3+ IP or Obs&gt;=24 Visits</w:t>
                  </w:r>
                </w:p>
              </w:tc>
              <w:tc>
                <w:tcPr>
                  <w:tcW w:w="2008" w:type="dxa"/>
                  <w:tcBorders>
                    <w:top w:val="nil"/>
                    <w:left w:val="nil"/>
                    <w:bottom w:val="single" w:sz="4" w:space="0" w:color="auto"/>
                    <w:right w:val="single" w:sz="4" w:space="0" w:color="auto"/>
                  </w:tcBorders>
                  <w:shd w:val="clear" w:color="000000" w:fill="auto"/>
                  <w:noWrap/>
                  <w:vAlign w:val="bottom"/>
                  <w:hideMark/>
                </w:tcPr>
                <w:p w14:paraId="43683F75"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175,649,371 </w:t>
                  </w:r>
                </w:p>
              </w:tc>
            </w:tr>
            <w:tr w:rsidR="00E1021E" w:rsidRPr="00E1021E" w14:paraId="1218C54F" w14:textId="77777777" w:rsidTr="00E1021E">
              <w:trPr>
                <w:trHeight w:val="300"/>
              </w:trPr>
              <w:tc>
                <w:tcPr>
                  <w:tcW w:w="3892" w:type="dxa"/>
                  <w:tcBorders>
                    <w:top w:val="nil"/>
                    <w:left w:val="single" w:sz="4" w:space="0" w:color="auto"/>
                    <w:bottom w:val="single" w:sz="4" w:space="0" w:color="auto"/>
                    <w:right w:val="single" w:sz="4" w:space="0" w:color="auto"/>
                  </w:tcBorders>
                  <w:shd w:val="clear" w:color="000000" w:fill="FFFFFF"/>
                  <w:vAlign w:val="bottom"/>
                  <w:hideMark/>
                </w:tcPr>
                <w:p w14:paraId="5BFDB349"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3+ IP or Obs&gt;=24 Visits Medicare FFS</w:t>
                  </w:r>
                </w:p>
              </w:tc>
              <w:tc>
                <w:tcPr>
                  <w:tcW w:w="2008" w:type="dxa"/>
                  <w:tcBorders>
                    <w:top w:val="nil"/>
                    <w:left w:val="nil"/>
                    <w:bottom w:val="single" w:sz="4" w:space="0" w:color="auto"/>
                    <w:right w:val="single" w:sz="4" w:space="0" w:color="auto"/>
                  </w:tcBorders>
                  <w:shd w:val="clear" w:color="000000" w:fill="auto"/>
                  <w:noWrap/>
                  <w:vAlign w:val="bottom"/>
                  <w:hideMark/>
                </w:tcPr>
                <w:p w14:paraId="2ED3E584"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66,265,013 </w:t>
                  </w:r>
                </w:p>
              </w:tc>
            </w:tr>
            <w:tr w:rsidR="00E1021E" w:rsidRPr="00E1021E" w14:paraId="05008D12" w14:textId="77777777" w:rsidTr="00E1021E">
              <w:trPr>
                <w:trHeight w:val="300"/>
              </w:trPr>
              <w:tc>
                <w:tcPr>
                  <w:tcW w:w="3892" w:type="dxa"/>
                  <w:tcBorders>
                    <w:top w:val="nil"/>
                    <w:left w:val="single" w:sz="4" w:space="0" w:color="auto"/>
                    <w:bottom w:val="single" w:sz="4" w:space="0" w:color="auto"/>
                    <w:right w:val="single" w:sz="4" w:space="0" w:color="auto"/>
                  </w:tcBorders>
                  <w:shd w:val="clear" w:color="000000" w:fill="FFFFFF"/>
                  <w:vAlign w:val="bottom"/>
                  <w:hideMark/>
                </w:tcPr>
                <w:p w14:paraId="5B561EB2"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All Payer</w:t>
                  </w:r>
                </w:p>
              </w:tc>
              <w:tc>
                <w:tcPr>
                  <w:tcW w:w="2008" w:type="dxa"/>
                  <w:tcBorders>
                    <w:top w:val="nil"/>
                    <w:left w:val="nil"/>
                    <w:bottom w:val="single" w:sz="4" w:space="0" w:color="auto"/>
                    <w:right w:val="single" w:sz="4" w:space="0" w:color="auto"/>
                  </w:tcBorders>
                  <w:shd w:val="clear" w:color="000000" w:fill="auto"/>
                  <w:noWrap/>
                  <w:vAlign w:val="bottom"/>
                  <w:hideMark/>
                </w:tcPr>
                <w:p w14:paraId="11E478F2"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273,639,552 </w:t>
                  </w:r>
                </w:p>
              </w:tc>
            </w:tr>
            <w:tr w:rsidR="00E1021E" w:rsidRPr="00E1021E" w14:paraId="58647244" w14:textId="77777777" w:rsidTr="00E1021E">
              <w:trPr>
                <w:trHeight w:val="300"/>
              </w:trPr>
              <w:tc>
                <w:tcPr>
                  <w:tcW w:w="3892" w:type="dxa"/>
                  <w:tcBorders>
                    <w:top w:val="nil"/>
                    <w:left w:val="single" w:sz="4" w:space="0" w:color="auto"/>
                    <w:bottom w:val="single" w:sz="4" w:space="0" w:color="auto"/>
                    <w:right w:val="single" w:sz="4" w:space="0" w:color="auto"/>
                  </w:tcBorders>
                  <w:shd w:val="clear" w:color="000000" w:fill="FFFFFF"/>
                  <w:vAlign w:val="bottom"/>
                  <w:hideMark/>
                </w:tcPr>
                <w:p w14:paraId="0130A503"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Medicare FFS</w:t>
                  </w:r>
                </w:p>
              </w:tc>
              <w:tc>
                <w:tcPr>
                  <w:tcW w:w="2008" w:type="dxa"/>
                  <w:tcBorders>
                    <w:top w:val="nil"/>
                    <w:left w:val="nil"/>
                    <w:bottom w:val="single" w:sz="4" w:space="0" w:color="auto"/>
                    <w:right w:val="single" w:sz="4" w:space="0" w:color="auto"/>
                  </w:tcBorders>
                  <w:shd w:val="clear" w:color="000000" w:fill="auto"/>
                  <w:noWrap/>
                  <w:vAlign w:val="bottom"/>
                  <w:hideMark/>
                </w:tcPr>
                <w:p w14:paraId="423723C7"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111,100,460 </w:t>
                  </w:r>
                </w:p>
              </w:tc>
            </w:tr>
            <w:tr w:rsidR="00E1021E" w:rsidRPr="00E1021E" w14:paraId="4CE84D7E" w14:textId="77777777" w:rsidTr="00E1021E">
              <w:trPr>
                <w:trHeight w:val="300"/>
              </w:trPr>
              <w:tc>
                <w:tcPr>
                  <w:tcW w:w="3892" w:type="dxa"/>
                  <w:tcBorders>
                    <w:top w:val="nil"/>
                    <w:left w:val="nil"/>
                    <w:bottom w:val="nil"/>
                    <w:right w:val="nil"/>
                  </w:tcBorders>
                  <w:shd w:val="clear" w:color="000000" w:fill="auto"/>
                  <w:noWrap/>
                  <w:vAlign w:val="bottom"/>
                  <w:hideMark/>
                </w:tcPr>
                <w:p w14:paraId="2080925E" w14:textId="77777777" w:rsidR="00E1021E" w:rsidRPr="00E1021E" w:rsidRDefault="00E1021E" w:rsidP="00E1021E">
                  <w:pPr>
                    <w:spacing w:after="0" w:line="240" w:lineRule="auto"/>
                    <w:jc w:val="center"/>
                    <w:rPr>
                      <w:rFonts w:ascii="Calibri" w:eastAsia="Times New Roman" w:hAnsi="Calibri" w:cs="Times New Roman"/>
                      <w:color w:val="000000"/>
                    </w:rPr>
                  </w:pPr>
                </w:p>
              </w:tc>
              <w:tc>
                <w:tcPr>
                  <w:tcW w:w="2008" w:type="dxa"/>
                  <w:tcBorders>
                    <w:top w:val="nil"/>
                    <w:left w:val="nil"/>
                    <w:bottom w:val="nil"/>
                    <w:right w:val="nil"/>
                  </w:tcBorders>
                  <w:shd w:val="clear" w:color="000000" w:fill="auto"/>
                  <w:noWrap/>
                  <w:vAlign w:val="bottom"/>
                  <w:hideMark/>
                </w:tcPr>
                <w:p w14:paraId="7F7BD6B1" w14:textId="77777777" w:rsidR="00E1021E" w:rsidRPr="00E1021E" w:rsidRDefault="00E1021E" w:rsidP="00E1021E">
                  <w:pPr>
                    <w:spacing w:after="0" w:line="240" w:lineRule="auto"/>
                    <w:rPr>
                      <w:rFonts w:ascii="Times New Roman" w:eastAsia="Times New Roman" w:hAnsi="Times New Roman" w:cs="Times New Roman"/>
                      <w:sz w:val="20"/>
                      <w:szCs w:val="20"/>
                    </w:rPr>
                  </w:pPr>
                </w:p>
              </w:tc>
            </w:tr>
            <w:tr w:rsidR="00E1021E" w:rsidRPr="00E1021E" w14:paraId="489A5C58" w14:textId="77777777" w:rsidTr="00E1021E">
              <w:trPr>
                <w:trHeight w:val="300"/>
              </w:trPr>
              <w:tc>
                <w:tcPr>
                  <w:tcW w:w="3892" w:type="dxa"/>
                  <w:tcBorders>
                    <w:top w:val="nil"/>
                    <w:left w:val="nil"/>
                    <w:bottom w:val="nil"/>
                    <w:right w:val="nil"/>
                  </w:tcBorders>
                  <w:shd w:val="clear" w:color="000000" w:fill="auto"/>
                  <w:noWrap/>
                  <w:vAlign w:val="bottom"/>
                  <w:hideMark/>
                </w:tcPr>
                <w:p w14:paraId="06F1CB18" w14:textId="77777777" w:rsidR="00E1021E" w:rsidRPr="00E1021E" w:rsidRDefault="00E1021E" w:rsidP="00E1021E">
                  <w:pPr>
                    <w:spacing w:after="0" w:line="240" w:lineRule="auto"/>
                    <w:rPr>
                      <w:rFonts w:ascii="Calibri" w:eastAsia="Times New Roman" w:hAnsi="Calibri" w:cs="Times New Roman"/>
                      <w:b/>
                      <w:bCs/>
                      <w:color w:val="000000"/>
                      <w:u w:val="single"/>
                    </w:rPr>
                  </w:pPr>
                  <w:r w:rsidRPr="00E1021E">
                    <w:rPr>
                      <w:rFonts w:ascii="Calibri" w:eastAsia="Times New Roman" w:hAnsi="Calibri" w:cs="Times New Roman"/>
                      <w:b/>
                      <w:bCs/>
                      <w:color w:val="000000"/>
                      <w:u w:val="single"/>
                    </w:rPr>
                    <w:t>GBMC - Support Our Elders</w:t>
                  </w:r>
                </w:p>
              </w:tc>
              <w:tc>
                <w:tcPr>
                  <w:tcW w:w="2008" w:type="dxa"/>
                  <w:tcBorders>
                    <w:top w:val="nil"/>
                    <w:left w:val="nil"/>
                    <w:bottom w:val="nil"/>
                    <w:right w:val="nil"/>
                  </w:tcBorders>
                  <w:shd w:val="clear" w:color="000000" w:fill="auto"/>
                  <w:noWrap/>
                  <w:vAlign w:val="bottom"/>
                  <w:hideMark/>
                </w:tcPr>
                <w:p w14:paraId="050915EA" w14:textId="77777777" w:rsidR="00E1021E" w:rsidRPr="00E1021E" w:rsidRDefault="00E1021E" w:rsidP="00E1021E">
                  <w:pPr>
                    <w:spacing w:after="0" w:line="240" w:lineRule="auto"/>
                    <w:rPr>
                      <w:rFonts w:ascii="Calibri" w:eastAsia="Times New Roman" w:hAnsi="Calibri" w:cs="Times New Roman"/>
                      <w:b/>
                      <w:bCs/>
                      <w:color w:val="000000"/>
                      <w:u w:val="single"/>
                    </w:rPr>
                  </w:pPr>
                </w:p>
              </w:tc>
            </w:tr>
            <w:tr w:rsidR="00E1021E" w:rsidRPr="00E1021E" w14:paraId="434FDE49" w14:textId="77777777" w:rsidTr="00E1021E">
              <w:trPr>
                <w:trHeight w:val="300"/>
              </w:trPr>
              <w:tc>
                <w:tcPr>
                  <w:tcW w:w="3892" w:type="dxa"/>
                  <w:tcBorders>
                    <w:top w:val="single" w:sz="4" w:space="0" w:color="auto"/>
                    <w:left w:val="single" w:sz="4" w:space="0" w:color="auto"/>
                    <w:bottom w:val="nil"/>
                    <w:right w:val="single" w:sz="4" w:space="0" w:color="auto"/>
                  </w:tcBorders>
                  <w:shd w:val="clear" w:color="000000" w:fill="FFFFFF"/>
                  <w:vAlign w:val="bottom"/>
                  <w:hideMark/>
                </w:tcPr>
                <w:p w14:paraId="64D5677F" w14:textId="77777777" w:rsidR="00E1021E" w:rsidRPr="00E1021E" w:rsidRDefault="00E1021E" w:rsidP="00E1021E">
                  <w:pPr>
                    <w:spacing w:after="0" w:line="240" w:lineRule="auto"/>
                    <w:rPr>
                      <w:rFonts w:ascii="Arial" w:eastAsia="Times New Roman" w:hAnsi="Arial" w:cs="Arial"/>
                      <w:b/>
                      <w:bCs/>
                      <w:color w:val="000000"/>
                      <w:sz w:val="20"/>
                      <w:szCs w:val="20"/>
                      <w:u w:val="single"/>
                    </w:rPr>
                  </w:pPr>
                  <w:r w:rsidRPr="00E1021E">
                    <w:rPr>
                      <w:rFonts w:ascii="Arial" w:eastAsia="Times New Roman" w:hAnsi="Arial" w:cs="Arial"/>
                      <w:b/>
                      <w:bCs/>
                      <w:color w:val="000000"/>
                      <w:sz w:val="20"/>
                      <w:szCs w:val="20"/>
                      <w:u w:val="single"/>
                    </w:rPr>
                    <w:t>Metrics</w:t>
                  </w:r>
                </w:p>
              </w:tc>
              <w:tc>
                <w:tcPr>
                  <w:tcW w:w="2008" w:type="dxa"/>
                  <w:tcBorders>
                    <w:top w:val="nil"/>
                    <w:left w:val="nil"/>
                    <w:bottom w:val="nil"/>
                    <w:right w:val="nil"/>
                  </w:tcBorders>
                  <w:shd w:val="clear" w:color="000000" w:fill="auto"/>
                  <w:noWrap/>
                  <w:vAlign w:val="bottom"/>
                  <w:hideMark/>
                </w:tcPr>
                <w:p w14:paraId="69F05092" w14:textId="77777777" w:rsidR="00E1021E" w:rsidRPr="00E1021E" w:rsidRDefault="00E1021E" w:rsidP="00E1021E">
                  <w:pPr>
                    <w:spacing w:after="0" w:line="240" w:lineRule="auto"/>
                    <w:rPr>
                      <w:rFonts w:ascii="Arial" w:eastAsia="Times New Roman" w:hAnsi="Arial" w:cs="Arial"/>
                      <w:b/>
                      <w:bCs/>
                      <w:color w:val="000000"/>
                      <w:sz w:val="20"/>
                      <w:szCs w:val="20"/>
                      <w:u w:val="single"/>
                    </w:rPr>
                  </w:pPr>
                </w:p>
              </w:tc>
            </w:tr>
            <w:tr w:rsidR="00E1021E" w:rsidRPr="00E1021E" w14:paraId="16E41E84" w14:textId="77777777" w:rsidTr="00E1021E">
              <w:trPr>
                <w:trHeight w:val="300"/>
              </w:trPr>
              <w:tc>
                <w:tcPr>
                  <w:tcW w:w="38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F69EA"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Chronic Conditions and Medicare FFS</w:t>
                  </w:r>
                </w:p>
              </w:tc>
              <w:tc>
                <w:tcPr>
                  <w:tcW w:w="2008" w:type="dxa"/>
                  <w:tcBorders>
                    <w:top w:val="single" w:sz="4" w:space="0" w:color="auto"/>
                    <w:left w:val="nil"/>
                    <w:bottom w:val="single" w:sz="4" w:space="0" w:color="auto"/>
                    <w:right w:val="single" w:sz="4" w:space="0" w:color="auto"/>
                  </w:tcBorders>
                  <w:shd w:val="clear" w:color="000000" w:fill="auto"/>
                  <w:noWrap/>
                  <w:vAlign w:val="bottom"/>
                  <w:hideMark/>
                </w:tcPr>
                <w:p w14:paraId="6C5F1637"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37,022,739 </w:t>
                  </w:r>
                </w:p>
              </w:tc>
            </w:tr>
            <w:tr w:rsidR="00E1021E" w:rsidRPr="00E1021E" w14:paraId="3A9E7A1D" w14:textId="77777777" w:rsidTr="00E1021E">
              <w:trPr>
                <w:trHeight w:val="300"/>
              </w:trPr>
              <w:tc>
                <w:tcPr>
                  <w:tcW w:w="3892" w:type="dxa"/>
                  <w:tcBorders>
                    <w:top w:val="nil"/>
                    <w:left w:val="single" w:sz="4" w:space="0" w:color="auto"/>
                    <w:bottom w:val="single" w:sz="4" w:space="0" w:color="auto"/>
                    <w:right w:val="single" w:sz="4" w:space="0" w:color="auto"/>
                  </w:tcBorders>
                  <w:shd w:val="clear" w:color="000000" w:fill="FFFFFF"/>
                  <w:vAlign w:val="bottom"/>
                  <w:hideMark/>
                </w:tcPr>
                <w:p w14:paraId="48735C09"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IP or Obs&gt;=24 or ED Visits</w:t>
                  </w:r>
                </w:p>
              </w:tc>
              <w:tc>
                <w:tcPr>
                  <w:tcW w:w="2008" w:type="dxa"/>
                  <w:tcBorders>
                    <w:top w:val="nil"/>
                    <w:left w:val="nil"/>
                    <w:bottom w:val="single" w:sz="4" w:space="0" w:color="auto"/>
                    <w:right w:val="single" w:sz="4" w:space="0" w:color="auto"/>
                  </w:tcBorders>
                  <w:shd w:val="clear" w:color="000000" w:fill="auto"/>
                  <w:noWrap/>
                  <w:vAlign w:val="bottom"/>
                  <w:hideMark/>
                </w:tcPr>
                <w:p w14:paraId="0C9E93F3"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64,338,805 </w:t>
                  </w:r>
                </w:p>
              </w:tc>
            </w:tr>
            <w:tr w:rsidR="00E1021E" w:rsidRPr="00E1021E" w14:paraId="75BB1EA6" w14:textId="77777777" w:rsidTr="00E1021E">
              <w:trPr>
                <w:trHeight w:val="300"/>
              </w:trPr>
              <w:tc>
                <w:tcPr>
                  <w:tcW w:w="3892" w:type="dxa"/>
                  <w:tcBorders>
                    <w:top w:val="nil"/>
                    <w:left w:val="single" w:sz="4" w:space="0" w:color="auto"/>
                    <w:bottom w:val="single" w:sz="4" w:space="0" w:color="auto"/>
                    <w:right w:val="single" w:sz="4" w:space="0" w:color="auto"/>
                  </w:tcBorders>
                  <w:shd w:val="clear" w:color="000000" w:fill="FFFFFF"/>
                  <w:vAlign w:val="bottom"/>
                  <w:hideMark/>
                </w:tcPr>
                <w:p w14:paraId="6CBF8426"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2+ IP or Obs&gt;=24 or ED Visits Medicare FFS</w:t>
                  </w:r>
                </w:p>
              </w:tc>
              <w:tc>
                <w:tcPr>
                  <w:tcW w:w="2008" w:type="dxa"/>
                  <w:tcBorders>
                    <w:top w:val="nil"/>
                    <w:left w:val="nil"/>
                    <w:bottom w:val="single" w:sz="4" w:space="0" w:color="auto"/>
                    <w:right w:val="single" w:sz="4" w:space="0" w:color="auto"/>
                  </w:tcBorders>
                  <w:shd w:val="clear" w:color="000000" w:fill="auto"/>
                  <w:noWrap/>
                  <w:vAlign w:val="bottom"/>
                  <w:hideMark/>
                </w:tcPr>
                <w:p w14:paraId="0A3D88F0"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33,757,658 </w:t>
                  </w:r>
                </w:p>
              </w:tc>
            </w:tr>
            <w:tr w:rsidR="00E1021E" w:rsidRPr="00E1021E" w14:paraId="333F491B" w14:textId="77777777" w:rsidTr="00E1021E">
              <w:trPr>
                <w:trHeight w:val="300"/>
              </w:trPr>
              <w:tc>
                <w:tcPr>
                  <w:tcW w:w="3892" w:type="dxa"/>
                  <w:tcBorders>
                    <w:top w:val="nil"/>
                    <w:left w:val="single" w:sz="4" w:space="0" w:color="auto"/>
                    <w:bottom w:val="single" w:sz="4" w:space="0" w:color="auto"/>
                    <w:right w:val="single" w:sz="4" w:space="0" w:color="auto"/>
                  </w:tcBorders>
                  <w:shd w:val="clear" w:color="000000" w:fill="FFFFFF"/>
                  <w:vAlign w:val="bottom"/>
                  <w:hideMark/>
                </w:tcPr>
                <w:p w14:paraId="2693C0BD"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3+ IP or Obs&gt;=24 Visits</w:t>
                  </w:r>
                </w:p>
              </w:tc>
              <w:tc>
                <w:tcPr>
                  <w:tcW w:w="2008" w:type="dxa"/>
                  <w:tcBorders>
                    <w:top w:val="nil"/>
                    <w:left w:val="nil"/>
                    <w:bottom w:val="single" w:sz="4" w:space="0" w:color="auto"/>
                    <w:right w:val="single" w:sz="4" w:space="0" w:color="auto"/>
                  </w:tcBorders>
                  <w:shd w:val="clear" w:color="000000" w:fill="auto"/>
                  <w:noWrap/>
                  <w:vAlign w:val="bottom"/>
                  <w:hideMark/>
                </w:tcPr>
                <w:p w14:paraId="0D55E503"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43,272,730 </w:t>
                  </w:r>
                </w:p>
              </w:tc>
            </w:tr>
            <w:tr w:rsidR="00E1021E" w:rsidRPr="00E1021E" w14:paraId="4ECDC24C" w14:textId="77777777" w:rsidTr="00E1021E">
              <w:trPr>
                <w:trHeight w:val="300"/>
              </w:trPr>
              <w:tc>
                <w:tcPr>
                  <w:tcW w:w="3892" w:type="dxa"/>
                  <w:tcBorders>
                    <w:top w:val="nil"/>
                    <w:left w:val="single" w:sz="4" w:space="0" w:color="auto"/>
                    <w:bottom w:val="single" w:sz="4" w:space="0" w:color="auto"/>
                    <w:right w:val="single" w:sz="4" w:space="0" w:color="auto"/>
                  </w:tcBorders>
                  <w:shd w:val="clear" w:color="000000" w:fill="FFFFFF"/>
                  <w:vAlign w:val="bottom"/>
                  <w:hideMark/>
                </w:tcPr>
                <w:p w14:paraId="1DE4604F"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3+ IP or Obs&gt;=24 Visits Medicare FFS</w:t>
                  </w:r>
                </w:p>
              </w:tc>
              <w:tc>
                <w:tcPr>
                  <w:tcW w:w="2008" w:type="dxa"/>
                  <w:tcBorders>
                    <w:top w:val="nil"/>
                    <w:left w:val="nil"/>
                    <w:bottom w:val="single" w:sz="4" w:space="0" w:color="auto"/>
                    <w:right w:val="single" w:sz="4" w:space="0" w:color="auto"/>
                  </w:tcBorders>
                  <w:shd w:val="clear" w:color="000000" w:fill="auto"/>
                  <w:noWrap/>
                  <w:vAlign w:val="bottom"/>
                  <w:hideMark/>
                </w:tcPr>
                <w:p w14:paraId="5D4F85D2"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21,978,245 </w:t>
                  </w:r>
                </w:p>
              </w:tc>
            </w:tr>
            <w:tr w:rsidR="00E1021E" w:rsidRPr="00E1021E" w14:paraId="63D88798" w14:textId="77777777" w:rsidTr="00E1021E">
              <w:trPr>
                <w:trHeight w:val="300"/>
              </w:trPr>
              <w:tc>
                <w:tcPr>
                  <w:tcW w:w="3892" w:type="dxa"/>
                  <w:tcBorders>
                    <w:top w:val="nil"/>
                    <w:left w:val="single" w:sz="4" w:space="0" w:color="auto"/>
                    <w:bottom w:val="single" w:sz="4" w:space="0" w:color="auto"/>
                    <w:right w:val="single" w:sz="4" w:space="0" w:color="auto"/>
                  </w:tcBorders>
                  <w:shd w:val="clear" w:color="000000" w:fill="FFFFFF"/>
                  <w:vAlign w:val="bottom"/>
                  <w:hideMark/>
                </w:tcPr>
                <w:p w14:paraId="46A3C4DC"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All Payer</w:t>
                  </w:r>
                </w:p>
              </w:tc>
              <w:tc>
                <w:tcPr>
                  <w:tcW w:w="2008" w:type="dxa"/>
                  <w:tcBorders>
                    <w:top w:val="nil"/>
                    <w:left w:val="nil"/>
                    <w:bottom w:val="single" w:sz="4" w:space="0" w:color="auto"/>
                    <w:right w:val="single" w:sz="4" w:space="0" w:color="auto"/>
                  </w:tcBorders>
                  <w:shd w:val="clear" w:color="000000" w:fill="auto"/>
                  <w:noWrap/>
                  <w:vAlign w:val="bottom"/>
                  <w:hideMark/>
                </w:tcPr>
                <w:p w14:paraId="13C4114E"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71,819,208 </w:t>
                  </w:r>
                </w:p>
              </w:tc>
            </w:tr>
            <w:tr w:rsidR="00E1021E" w:rsidRPr="00E1021E" w14:paraId="005006BA" w14:textId="77777777" w:rsidTr="00E1021E">
              <w:trPr>
                <w:trHeight w:val="300"/>
              </w:trPr>
              <w:tc>
                <w:tcPr>
                  <w:tcW w:w="3892" w:type="dxa"/>
                  <w:tcBorders>
                    <w:top w:val="nil"/>
                    <w:left w:val="single" w:sz="4" w:space="0" w:color="auto"/>
                    <w:bottom w:val="single" w:sz="4" w:space="0" w:color="auto"/>
                    <w:right w:val="single" w:sz="4" w:space="0" w:color="auto"/>
                  </w:tcBorders>
                  <w:shd w:val="clear" w:color="000000" w:fill="FFFFFF"/>
                  <w:vAlign w:val="bottom"/>
                  <w:hideMark/>
                </w:tcPr>
                <w:p w14:paraId="04D6BD25" w14:textId="77777777" w:rsidR="00E1021E" w:rsidRPr="00E1021E" w:rsidRDefault="00E1021E" w:rsidP="00E1021E">
                  <w:pPr>
                    <w:spacing w:after="0" w:line="240" w:lineRule="auto"/>
                    <w:rPr>
                      <w:rFonts w:ascii="Arial" w:eastAsia="Times New Roman" w:hAnsi="Arial" w:cs="Arial"/>
                      <w:color w:val="000000"/>
                      <w:sz w:val="20"/>
                      <w:szCs w:val="20"/>
                    </w:rPr>
                  </w:pPr>
                  <w:r w:rsidRPr="00E1021E">
                    <w:rPr>
                      <w:rFonts w:ascii="Arial" w:eastAsia="Times New Roman" w:hAnsi="Arial" w:cs="Arial"/>
                      <w:color w:val="000000"/>
                      <w:sz w:val="20"/>
                      <w:szCs w:val="20"/>
                    </w:rPr>
                    <w:t>Medicare FFS</w:t>
                  </w:r>
                </w:p>
              </w:tc>
              <w:tc>
                <w:tcPr>
                  <w:tcW w:w="2008" w:type="dxa"/>
                  <w:tcBorders>
                    <w:top w:val="nil"/>
                    <w:left w:val="nil"/>
                    <w:bottom w:val="single" w:sz="4" w:space="0" w:color="auto"/>
                    <w:right w:val="single" w:sz="4" w:space="0" w:color="auto"/>
                  </w:tcBorders>
                  <w:shd w:val="clear" w:color="000000" w:fill="auto"/>
                  <w:noWrap/>
                  <w:vAlign w:val="bottom"/>
                  <w:hideMark/>
                </w:tcPr>
                <w:p w14:paraId="3D22EFA3" w14:textId="77777777" w:rsidR="00E1021E" w:rsidRPr="00E1021E" w:rsidRDefault="00E1021E" w:rsidP="00E1021E">
                  <w:pPr>
                    <w:spacing w:after="0" w:line="240" w:lineRule="auto"/>
                    <w:jc w:val="center"/>
                    <w:rPr>
                      <w:rFonts w:ascii="Calibri" w:eastAsia="Times New Roman" w:hAnsi="Calibri" w:cs="Times New Roman"/>
                      <w:color w:val="000000"/>
                    </w:rPr>
                  </w:pPr>
                  <w:r w:rsidRPr="00E1021E">
                    <w:rPr>
                      <w:rFonts w:ascii="Calibri" w:eastAsia="Times New Roman" w:hAnsi="Calibri" w:cs="Times New Roman"/>
                      <w:color w:val="000000"/>
                    </w:rPr>
                    <w:t xml:space="preserve"> $           38,129,428 </w:t>
                  </w:r>
                </w:p>
              </w:tc>
            </w:tr>
          </w:tbl>
          <w:p w14:paraId="39E4FCE4" w14:textId="77777777" w:rsidR="00047939" w:rsidRDefault="00047939" w:rsidP="000D0468"/>
        </w:tc>
      </w:tr>
    </w:tbl>
    <w:p w14:paraId="71F3FF07" w14:textId="77777777" w:rsidR="00F41C1A" w:rsidRPr="00047939" w:rsidRDefault="00F41C1A" w:rsidP="00047939"/>
    <w:p w14:paraId="1D420391" w14:textId="7583C602" w:rsidR="005F2691" w:rsidRDefault="00D7692C" w:rsidP="005F2691">
      <w:pPr>
        <w:pStyle w:val="Heading2"/>
      </w:pPr>
      <w:r>
        <w:t>CRISP Key Indicators</w:t>
      </w:r>
      <w:r w:rsidR="005F2691" w:rsidRPr="005F2691">
        <w:t xml:space="preserve"> </w:t>
      </w:r>
      <w:r w:rsidR="005F2691">
        <w:t>(</w:t>
      </w:r>
      <w:r w:rsidR="008106A3">
        <w:t>Optional</w:t>
      </w:r>
      <w:r w:rsidR="005F2691">
        <w:t>)</w:t>
      </w:r>
      <w:r w:rsidR="00C3307D">
        <w:t xml:space="preserve"> </w:t>
      </w:r>
    </w:p>
    <w:p w14:paraId="05DA2620" w14:textId="0484286B" w:rsidR="00A56C0D" w:rsidRDefault="00A56C0D" w:rsidP="00A56C0D">
      <w:r>
        <w:t>These</w:t>
      </w:r>
      <w:r w:rsidR="008106A3">
        <w:t xml:space="preserve"> process</w:t>
      </w:r>
      <w:r>
        <w:t xml:space="preserve"> measures</w:t>
      </w:r>
      <w:r w:rsidR="008106A3">
        <w:t xml:space="preserve"> tracked by the CRISP Key Indicators</w:t>
      </w:r>
      <w:r>
        <w:t xml:space="preserve"> are new, and </w:t>
      </w:r>
      <w:r w:rsidR="008106A3">
        <w:t>HSCRC</w:t>
      </w:r>
      <w:r>
        <w:t xml:space="preserve"> anticipate</w:t>
      </w:r>
      <w:r w:rsidR="008106A3">
        <w:t>s</w:t>
      </w:r>
      <w:r>
        <w:t xml:space="preserve"> that these data will become more meaningful in future years.</w:t>
      </w:r>
    </w:p>
    <w:tbl>
      <w:tblPr>
        <w:tblStyle w:val="TableGridLight"/>
        <w:tblW w:w="9355" w:type="dxa"/>
        <w:tblCellMar>
          <w:top w:w="115" w:type="dxa"/>
          <w:left w:w="115" w:type="dxa"/>
          <w:bottom w:w="115" w:type="dxa"/>
          <w:right w:w="115" w:type="dxa"/>
        </w:tblCellMar>
        <w:tblLook w:val="04A0" w:firstRow="1" w:lastRow="0" w:firstColumn="1" w:lastColumn="0" w:noHBand="0" w:noVBand="1"/>
      </w:tblPr>
      <w:tblGrid>
        <w:gridCol w:w="1800"/>
        <w:gridCol w:w="3240"/>
        <w:gridCol w:w="4315"/>
      </w:tblGrid>
      <w:tr w:rsidR="00047939" w14:paraId="5FF53C0D" w14:textId="77777777" w:rsidTr="00E54B91">
        <w:tc>
          <w:tcPr>
            <w:tcW w:w="1800" w:type="dxa"/>
            <w:vAlign w:val="center"/>
          </w:tcPr>
          <w:p w14:paraId="2E3B145A" w14:textId="77777777" w:rsidR="00047939" w:rsidRDefault="00047939" w:rsidP="00F06190">
            <w:r>
              <w:lastRenderedPageBreak/>
              <w:t>Measure in RFP</w:t>
            </w:r>
          </w:p>
          <w:p w14:paraId="2B888448" w14:textId="77777777" w:rsidR="00047939" w:rsidRPr="00C643E8" w:rsidRDefault="00047939" w:rsidP="00F06190">
            <w:pPr>
              <w:rPr>
                <w:i/>
              </w:rPr>
            </w:pPr>
            <w:r>
              <w:rPr>
                <w:i/>
                <w:sz w:val="20"/>
              </w:rPr>
              <w:t>(</w:t>
            </w:r>
            <w:r w:rsidRPr="00C643E8">
              <w:rPr>
                <w:i/>
                <w:sz w:val="20"/>
              </w:rPr>
              <w:t>Table 1 in Appendix A of the RFP</w:t>
            </w:r>
            <w:r>
              <w:rPr>
                <w:i/>
                <w:sz w:val="20"/>
              </w:rPr>
              <w:t>)</w:t>
            </w:r>
          </w:p>
        </w:tc>
        <w:tc>
          <w:tcPr>
            <w:tcW w:w="3240" w:type="dxa"/>
            <w:vAlign w:val="center"/>
          </w:tcPr>
          <w:p w14:paraId="2F4791DA" w14:textId="77777777" w:rsidR="00047939" w:rsidRPr="00C643E8" w:rsidRDefault="00047939" w:rsidP="00F06190">
            <w:pPr>
              <w:rPr>
                <w:b/>
              </w:rPr>
            </w:pPr>
            <w:r w:rsidRPr="00C643E8">
              <w:rPr>
                <w:b/>
              </w:rPr>
              <w:t>Measure for FY 2018 Reporting</w:t>
            </w:r>
          </w:p>
        </w:tc>
        <w:tc>
          <w:tcPr>
            <w:tcW w:w="4315" w:type="dxa"/>
            <w:vAlign w:val="center"/>
          </w:tcPr>
          <w:p w14:paraId="67B32DE9" w14:textId="77777777" w:rsidR="00047939" w:rsidRDefault="00047939" w:rsidP="00F06190">
            <w:pPr>
              <w:rPr>
                <w:b/>
              </w:rPr>
            </w:pPr>
            <w:r>
              <w:rPr>
                <w:b/>
              </w:rPr>
              <w:t>Outcomes(s)</w:t>
            </w:r>
          </w:p>
        </w:tc>
      </w:tr>
      <w:tr w:rsidR="00047939" w14:paraId="59D52EA2" w14:textId="77777777" w:rsidTr="00E54B91">
        <w:tc>
          <w:tcPr>
            <w:tcW w:w="1800" w:type="dxa"/>
          </w:tcPr>
          <w:p w14:paraId="5E0DBAF4" w14:textId="3422197B" w:rsidR="00047939" w:rsidRDefault="00047939" w:rsidP="000D0468">
            <w:r>
              <w:t>Established Longitudinal Care Plan</w:t>
            </w:r>
          </w:p>
        </w:tc>
        <w:tc>
          <w:tcPr>
            <w:tcW w:w="3240" w:type="dxa"/>
          </w:tcPr>
          <w:p w14:paraId="0D42B9CF" w14:textId="18195826" w:rsidR="00047939" w:rsidRDefault="00047939" w:rsidP="000D0468">
            <w:pPr>
              <w:rPr>
                <w:b/>
              </w:rPr>
            </w:pPr>
            <w:r>
              <w:rPr>
                <w:b/>
              </w:rPr>
              <w:t>% of patients with Care Plan recorded at CRISP</w:t>
            </w:r>
          </w:p>
          <w:p w14:paraId="53DEECA0" w14:textId="77777777" w:rsidR="00047939" w:rsidRPr="00047939" w:rsidRDefault="00047939" w:rsidP="00047939">
            <w:pPr>
              <w:rPr>
                <w:b/>
                <w:sz w:val="20"/>
                <w:szCs w:val="20"/>
              </w:rPr>
            </w:pPr>
          </w:p>
          <w:p w14:paraId="2A289955" w14:textId="77777777" w:rsidR="00047939" w:rsidRPr="00047939" w:rsidRDefault="00047939" w:rsidP="00047939">
            <w:pPr>
              <w:rPr>
                <w:sz w:val="20"/>
                <w:szCs w:val="20"/>
              </w:rPr>
            </w:pPr>
            <w:r w:rsidRPr="00047939">
              <w:rPr>
                <w:sz w:val="20"/>
                <w:szCs w:val="20"/>
              </w:rPr>
              <w:t>Executive Dashboard:</w:t>
            </w:r>
          </w:p>
          <w:p w14:paraId="5A6F1601" w14:textId="2CFCEA97" w:rsidR="00047939" w:rsidRPr="00047939" w:rsidRDefault="00047939" w:rsidP="000D0468">
            <w:pPr>
              <w:rPr>
                <w:sz w:val="20"/>
                <w:szCs w:val="20"/>
              </w:rPr>
            </w:pPr>
            <w:r w:rsidRPr="00047939">
              <w:rPr>
                <w:sz w:val="20"/>
                <w:szCs w:val="20"/>
              </w:rPr>
              <w:t>‘High Needs Patients – CRISP Key Indicators’ –</w:t>
            </w:r>
          </w:p>
          <w:p w14:paraId="6B4B52B1" w14:textId="77777777" w:rsidR="00047939" w:rsidRDefault="00047939" w:rsidP="000D0468">
            <w:pPr>
              <w:rPr>
                <w:sz w:val="20"/>
                <w:szCs w:val="20"/>
              </w:rPr>
            </w:pPr>
            <w:r w:rsidRPr="00047939">
              <w:rPr>
                <w:sz w:val="20"/>
                <w:szCs w:val="20"/>
                <w:u w:val="single"/>
              </w:rPr>
              <w:t>% of patients with Care Plan recorded at CRISP</w:t>
            </w:r>
            <w:r w:rsidRPr="00047939">
              <w:rPr>
                <w:sz w:val="20"/>
                <w:szCs w:val="20"/>
              </w:rPr>
              <w:t>, reported as average monthly % for most recent six months of data</w:t>
            </w:r>
          </w:p>
          <w:p w14:paraId="43B04198" w14:textId="77777777" w:rsidR="008106A3" w:rsidRDefault="008106A3" w:rsidP="000D0468">
            <w:pPr>
              <w:rPr>
                <w:sz w:val="20"/>
                <w:szCs w:val="20"/>
              </w:rPr>
            </w:pPr>
          </w:p>
          <w:p w14:paraId="359F1CCB" w14:textId="5BD13045" w:rsidR="008106A3" w:rsidRPr="008106A3" w:rsidRDefault="008106A3" w:rsidP="000D0468">
            <w:pPr>
              <w:rPr>
                <w:i/>
              </w:rPr>
            </w:pPr>
            <w:r>
              <w:rPr>
                <w:i/>
                <w:sz w:val="20"/>
                <w:szCs w:val="20"/>
              </w:rPr>
              <w:t>May also include Rising Needs Patients, if applicable in Partnership.</w:t>
            </w:r>
          </w:p>
        </w:tc>
        <w:tc>
          <w:tcPr>
            <w:tcW w:w="4315" w:type="dxa"/>
          </w:tcPr>
          <w:p w14:paraId="1DE560CD" w14:textId="1C9D7217" w:rsidR="004E678C" w:rsidRDefault="004E678C" w:rsidP="004E678C">
            <w:r>
              <w:t>Using the CRISP Executive Dashboard and Instructions, please see below for this metric calculation:</w:t>
            </w:r>
          </w:p>
          <w:p w14:paraId="5F2EAEC6" w14:textId="77777777" w:rsidR="004E678C" w:rsidRDefault="004E678C" w:rsidP="004E678C"/>
          <w:p w14:paraId="34206526" w14:textId="62246833" w:rsidR="00047939" w:rsidRDefault="004E678C" w:rsidP="000D0468">
            <w:r>
              <w:t>1.8%</w:t>
            </w:r>
          </w:p>
        </w:tc>
      </w:tr>
      <w:tr w:rsidR="00047939" w14:paraId="416F58CF" w14:textId="77777777" w:rsidTr="00E54B91">
        <w:tc>
          <w:tcPr>
            <w:tcW w:w="1800" w:type="dxa"/>
          </w:tcPr>
          <w:p w14:paraId="626ACFCC" w14:textId="72AC1BCC" w:rsidR="00047939" w:rsidRDefault="00047939" w:rsidP="000D0468">
            <w:r>
              <w:t>Portion of Target Population with Contact from Assigned Care Manager</w:t>
            </w:r>
          </w:p>
        </w:tc>
        <w:tc>
          <w:tcPr>
            <w:tcW w:w="3240" w:type="dxa"/>
          </w:tcPr>
          <w:p w14:paraId="36B2A1DF" w14:textId="77777777" w:rsidR="00047939" w:rsidRDefault="00047939" w:rsidP="000D0468">
            <w:pPr>
              <w:rPr>
                <w:b/>
              </w:rPr>
            </w:pPr>
            <w:r>
              <w:rPr>
                <w:b/>
              </w:rPr>
              <w:t>Potentially Avoidable Utilization</w:t>
            </w:r>
          </w:p>
          <w:p w14:paraId="00CFD41B" w14:textId="77777777" w:rsidR="00047939" w:rsidRPr="00047939" w:rsidRDefault="00047939" w:rsidP="00047939">
            <w:pPr>
              <w:rPr>
                <w:b/>
                <w:sz w:val="20"/>
                <w:szCs w:val="20"/>
              </w:rPr>
            </w:pPr>
          </w:p>
          <w:p w14:paraId="4008BE1D" w14:textId="77777777" w:rsidR="00047939" w:rsidRPr="00047939" w:rsidRDefault="00047939" w:rsidP="00047939">
            <w:pPr>
              <w:rPr>
                <w:sz w:val="20"/>
                <w:szCs w:val="20"/>
              </w:rPr>
            </w:pPr>
            <w:r w:rsidRPr="00047939">
              <w:rPr>
                <w:sz w:val="20"/>
                <w:szCs w:val="20"/>
              </w:rPr>
              <w:t>Executive Dashboard:</w:t>
            </w:r>
          </w:p>
          <w:p w14:paraId="2A72421E" w14:textId="77777777" w:rsidR="00047939" w:rsidRPr="00047939" w:rsidRDefault="00047939" w:rsidP="00047939">
            <w:pPr>
              <w:rPr>
                <w:sz w:val="20"/>
                <w:szCs w:val="20"/>
              </w:rPr>
            </w:pPr>
            <w:r w:rsidRPr="00047939">
              <w:rPr>
                <w:sz w:val="20"/>
                <w:szCs w:val="20"/>
              </w:rPr>
              <w:t>‘High Needs Patients – CRISP Key Indicators’ –</w:t>
            </w:r>
          </w:p>
          <w:p w14:paraId="15428497" w14:textId="77777777" w:rsidR="00047939" w:rsidRDefault="00047939" w:rsidP="008106A3">
            <w:pPr>
              <w:rPr>
                <w:sz w:val="20"/>
                <w:szCs w:val="20"/>
              </w:rPr>
            </w:pPr>
            <w:r w:rsidRPr="00047939">
              <w:rPr>
                <w:sz w:val="20"/>
                <w:szCs w:val="20"/>
                <w:u w:val="single"/>
              </w:rPr>
              <w:t xml:space="preserve">% of patients with </w:t>
            </w:r>
            <w:r w:rsidR="008106A3">
              <w:rPr>
                <w:sz w:val="20"/>
                <w:szCs w:val="20"/>
                <w:u w:val="single"/>
              </w:rPr>
              <w:t>Case Manager (CM)</w:t>
            </w:r>
            <w:r w:rsidRPr="00047939">
              <w:rPr>
                <w:sz w:val="20"/>
                <w:szCs w:val="20"/>
                <w:u w:val="single"/>
              </w:rPr>
              <w:t xml:space="preserve"> recorded at CRISP</w:t>
            </w:r>
            <w:r w:rsidRPr="00047939">
              <w:rPr>
                <w:sz w:val="20"/>
                <w:szCs w:val="20"/>
              </w:rPr>
              <w:t>, reported as average monthly % for most recent six months of data</w:t>
            </w:r>
          </w:p>
          <w:p w14:paraId="33E54D0E" w14:textId="77777777" w:rsidR="008106A3" w:rsidRDefault="008106A3" w:rsidP="008106A3">
            <w:pPr>
              <w:rPr>
                <w:sz w:val="20"/>
                <w:szCs w:val="20"/>
              </w:rPr>
            </w:pPr>
          </w:p>
          <w:p w14:paraId="66E1B4D1" w14:textId="7EC9CE66" w:rsidR="008106A3" w:rsidRPr="00047939" w:rsidRDefault="008106A3" w:rsidP="008106A3">
            <w:r>
              <w:rPr>
                <w:i/>
                <w:sz w:val="20"/>
                <w:szCs w:val="20"/>
              </w:rPr>
              <w:t>May also include Rising Needs Patients, if applicable in Partnership.</w:t>
            </w:r>
          </w:p>
        </w:tc>
        <w:tc>
          <w:tcPr>
            <w:tcW w:w="4315" w:type="dxa"/>
          </w:tcPr>
          <w:p w14:paraId="310F61CC" w14:textId="77777777" w:rsidR="004E678C" w:rsidRDefault="004E678C" w:rsidP="004E678C">
            <w:r>
              <w:t>Using the CRISP Executive Dashboard and Instructions, please see below for this metric calculation:</w:t>
            </w:r>
          </w:p>
          <w:p w14:paraId="084D0AB6" w14:textId="77777777" w:rsidR="004E678C" w:rsidRDefault="004E678C" w:rsidP="000D0468"/>
          <w:p w14:paraId="7BE2A8B6" w14:textId="22072CC3" w:rsidR="00047939" w:rsidRDefault="004E678C" w:rsidP="000D0468">
            <w:r>
              <w:t>22.7%</w:t>
            </w:r>
          </w:p>
        </w:tc>
      </w:tr>
    </w:tbl>
    <w:p w14:paraId="33513837" w14:textId="77777777" w:rsidR="00A56C0D" w:rsidRDefault="00A56C0D" w:rsidP="007B52B7"/>
    <w:p w14:paraId="1C0660D8" w14:textId="5B502C9E" w:rsidR="00A56C0D" w:rsidRDefault="00A56C0D" w:rsidP="00A56C0D">
      <w:pPr>
        <w:pStyle w:val="Heading2"/>
      </w:pPr>
      <w:r>
        <w:t xml:space="preserve">Self-Reported Process Measures </w:t>
      </w:r>
    </w:p>
    <w:p w14:paraId="4DE66D92" w14:textId="050E22F4" w:rsidR="00A56C0D" w:rsidRDefault="00D7692C" w:rsidP="007B52B7">
      <w:r>
        <w:t>Please</w:t>
      </w:r>
      <w:r w:rsidR="00E54B91">
        <w:t xml:space="preserve"> describe </w:t>
      </w:r>
      <w:r w:rsidR="00A56C0D">
        <w:t xml:space="preserve">any </w:t>
      </w:r>
      <w:r w:rsidR="00394CB3">
        <w:t xml:space="preserve">partnership-level </w:t>
      </w:r>
      <w:r w:rsidR="00A56C0D">
        <w:t xml:space="preserve">process measures </w:t>
      </w:r>
      <w:r w:rsidR="00047939">
        <w:t>that</w:t>
      </w:r>
      <w:r>
        <w:t xml:space="preserve"> your RP </w:t>
      </w:r>
      <w:r w:rsidR="00394CB3">
        <w:t>may be</w:t>
      </w:r>
      <w:r>
        <w:t xml:space="preserve"> </w:t>
      </w:r>
      <w:r w:rsidR="00D02E12">
        <w:t>tracking but</w:t>
      </w:r>
      <w:r w:rsidR="00047939">
        <w:t xml:space="preserve"> are </w:t>
      </w:r>
      <w:r w:rsidR="00A56C0D">
        <w:t>not currently cap</w:t>
      </w:r>
      <w:r w:rsidR="00047939">
        <w:t xml:space="preserve">tured under </w:t>
      </w:r>
      <w:r w:rsidR="00E54B91">
        <w:t xml:space="preserve">the </w:t>
      </w:r>
      <w:r w:rsidR="00047939">
        <w:t>Executive Dashboard. Some e</w:t>
      </w:r>
      <w:r w:rsidR="00A56C0D">
        <w:t>xamples are</w:t>
      </w:r>
      <w:r w:rsidR="00E54B91">
        <w:t xml:space="preserve"> </w:t>
      </w:r>
      <w:r w:rsidR="00A56C0D">
        <w:t>shared care plans</w:t>
      </w:r>
      <w:r w:rsidR="00047939">
        <w:t>,</w:t>
      </w:r>
      <w:r w:rsidR="00A56C0D">
        <w:t xml:space="preserve"> health risk assessments</w:t>
      </w:r>
      <w:r w:rsidR="00047939">
        <w:t>,</w:t>
      </w:r>
      <w:r w:rsidR="00A56C0D">
        <w:t xml:space="preserve"> patients with care manager</w:t>
      </w:r>
      <w:r w:rsidR="00047939">
        <w:t xml:space="preserve"> who are</w:t>
      </w:r>
      <w:r w:rsidR="00A56C0D">
        <w:t xml:space="preserve"> not recorded in CRISP</w:t>
      </w:r>
      <w:r w:rsidR="00047939">
        <w:t>,</w:t>
      </w:r>
      <w:r w:rsidR="00E54B91">
        <w:t xml:space="preserve"> etc.</w:t>
      </w:r>
      <w:r w:rsidR="00394CB3">
        <w:t xml:space="preserve"> By-intervention process measures should be included in ‘Intervention Program’ section and don’t need to be included here.</w:t>
      </w:r>
    </w:p>
    <w:p w14:paraId="2E3E3032" w14:textId="4D31ADBD" w:rsidR="005D1CC8" w:rsidRDefault="00187D23" w:rsidP="007B52B7">
      <w:r>
        <w:t xml:space="preserve">In FY 2018, GBMC introduced new Epic functionality that allows for shared care plans across care setting via the longitudinal plan of care. The goal of this enhancement is to continue working towards seamless care where inpatient and outpatient care teams are able to provide continuous, patient-centered care. In FY 2019, GBMC plans to introduce pre-/post-CRISP analyses to track measurable outcomes of the longitudinal plan of care efforts, and care management activities more generally. Additionally, beginning in November 2018, GBMC will be formally assessing social determinants of care through EPIC and following up with comprehensive care planning around social and clinical patient needs. </w:t>
      </w:r>
    </w:p>
    <w:p w14:paraId="6050FFFC" w14:textId="77777777" w:rsidR="009E0AC2" w:rsidRPr="009E0AC2" w:rsidRDefault="009E0AC2" w:rsidP="009E0AC2"/>
    <w:p w14:paraId="18ECE51D" w14:textId="531E36F1" w:rsidR="00B70060" w:rsidRDefault="005D1CC8" w:rsidP="00B70060">
      <w:pPr>
        <w:pStyle w:val="Heading1"/>
      </w:pPr>
      <w:r>
        <w:lastRenderedPageBreak/>
        <w:t>Return on Investment</w:t>
      </w:r>
    </w:p>
    <w:p w14:paraId="2312F0FA" w14:textId="3B0D8D74" w:rsidR="00D7692C" w:rsidRDefault="00F06190" w:rsidP="00394CB3">
      <w:r>
        <w:t>Indicate</w:t>
      </w:r>
      <w:r w:rsidR="005D1CC8">
        <w:t xml:space="preserve"> how the Partnership is working to generate a</w:t>
      </w:r>
      <w:r w:rsidR="00D02E12">
        <w:t xml:space="preserve"> positive return on investment. Free Response,</w:t>
      </w:r>
      <w:r w:rsidR="005D1CC8">
        <w:t xml:space="preserve"> </w:t>
      </w:r>
      <w:r w:rsidR="00C24123">
        <w:t>please include your calculation</w:t>
      </w:r>
      <w:r w:rsidR="00394CB3">
        <w:t xml:space="preserve"> if applicable</w:t>
      </w:r>
      <w:r w:rsidR="005D1CC8">
        <w:t>.</w:t>
      </w:r>
      <w:r w:rsidR="00D76E1D">
        <w:t xml:space="preserve"> </w:t>
      </w:r>
    </w:p>
    <w:p w14:paraId="28B376B2" w14:textId="600F5B75" w:rsidR="00D7692C" w:rsidRDefault="00187D23" w:rsidP="005D1CC8">
      <w:r>
        <w:t xml:space="preserve">For FY 2018, the return on investment of two of the three initiatives funded by this transformational grant have been measured using pre-/post-CRISP analyses (i.e., Elder Medical Care and Behavioral Health PCMH integration). While GBMC has additional work to do on assessing the return on investment of care management, one indirect indicator of positive gains </w:t>
      </w:r>
      <w:r w:rsidR="00D012E5">
        <w:t xml:space="preserve">of the initiative </w:t>
      </w:r>
      <w:r>
        <w:t xml:space="preserve">is </w:t>
      </w:r>
      <w:r w:rsidR="00D012E5">
        <w:t xml:space="preserve">the </w:t>
      </w:r>
      <w:r>
        <w:t>high patient experien</w:t>
      </w:r>
      <w:r w:rsidR="00D012E5">
        <w:t xml:space="preserve">ce of care scores in the PCMH practices. Additionally, the “great saves” in the emergency department have deterred avoidable inpatient stay costs. </w:t>
      </w:r>
      <w:r>
        <w:t xml:space="preserve"> </w:t>
      </w:r>
    </w:p>
    <w:p w14:paraId="2CD00EC7" w14:textId="77777777" w:rsidR="005D1CC8" w:rsidRDefault="00540AE4" w:rsidP="00540AE4">
      <w:pPr>
        <w:pStyle w:val="Heading1"/>
      </w:pPr>
      <w:r>
        <w:t>Conclusion</w:t>
      </w:r>
    </w:p>
    <w:p w14:paraId="494FB511" w14:textId="3F21B54D" w:rsidR="00C74336" w:rsidRDefault="00C74336" w:rsidP="00C74336">
      <w:r>
        <w:t>Please include any additional inf</w:t>
      </w:r>
      <w:r w:rsidR="008106A3">
        <w:t>ormation you wish to share here</w:t>
      </w:r>
      <w:r>
        <w:t>.</w:t>
      </w:r>
      <w:r w:rsidR="00E54B91">
        <w:t xml:space="preserve"> Free Response, 1-3 Paragraphs.</w:t>
      </w:r>
    </w:p>
    <w:p w14:paraId="764CFFD5" w14:textId="60B459DC" w:rsidR="000F231F" w:rsidRDefault="00D012E5">
      <w:pPr>
        <w:sectPr w:rsidR="000F231F">
          <w:headerReference w:type="default" r:id="rId8"/>
          <w:footerReference w:type="default" r:id="rId9"/>
          <w:pgSz w:w="12240" w:h="15840"/>
          <w:pgMar w:top="1440" w:right="1440" w:bottom="1440" w:left="1440" w:header="720" w:footer="720" w:gutter="0"/>
          <w:cols w:space="720"/>
          <w:docGrid w:linePitch="360"/>
        </w:sectPr>
      </w:pPr>
      <w:r>
        <w:t xml:space="preserve">The Transformational grant has afforded GBMC and its partners with a wealth of opportunities to transform patient care and cost and quality outcomes. The organization has learned significant lessons through the implementation of these three initiatives and will continue to work on process improvement and quantifying the return on investment of the grant funding across all three initiatives.  </w:t>
      </w:r>
    </w:p>
    <w:p w14:paraId="7D05DD20" w14:textId="77777777" w:rsidR="00FF2893" w:rsidRDefault="00FF2893" w:rsidP="00FF2893">
      <w:pPr>
        <w:rPr>
          <w:b/>
        </w:rPr>
      </w:pPr>
      <w:r>
        <w:rPr>
          <w:b/>
        </w:rPr>
        <w:lastRenderedPageBreak/>
        <w:t>APPENDIX A</w:t>
      </w:r>
      <w:r w:rsidRPr="000F231F">
        <w:rPr>
          <w:b/>
        </w:rPr>
        <w:t xml:space="preserve">. Pre-/Post-CRISP Analysis for the </w:t>
      </w:r>
      <w:r>
        <w:rPr>
          <w:b/>
        </w:rPr>
        <w:t>Behavioral Health PCMH Integration</w:t>
      </w:r>
    </w:p>
    <w:p w14:paraId="6D221AB0" w14:textId="1E0431C3" w:rsidR="00FF2893" w:rsidRDefault="00FF2893" w:rsidP="00FF2893">
      <w:pPr>
        <w:rPr>
          <w:b/>
        </w:rPr>
      </w:pPr>
      <w:r w:rsidRPr="000F231F">
        <w:rPr>
          <w:b/>
        </w:rPr>
        <w:t xml:space="preserve"> </w:t>
      </w:r>
      <w:r w:rsidRPr="00FF2893">
        <w:rPr>
          <w:b/>
          <w:noProof/>
        </w:rPr>
        <w:drawing>
          <wp:inline distT="0" distB="0" distL="0" distR="0" wp14:anchorId="7D51436D" wp14:editId="350EC070">
            <wp:extent cx="7527341" cy="56455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27341" cy="5645507"/>
                    </a:xfrm>
                    <a:prstGeom prst="rect">
                      <a:avLst/>
                    </a:prstGeom>
                  </pic:spPr>
                </pic:pic>
              </a:graphicData>
            </a:graphic>
          </wp:inline>
        </w:drawing>
      </w:r>
    </w:p>
    <w:p w14:paraId="5874A5C5" w14:textId="30C5E8F2" w:rsidR="00FF2893" w:rsidRDefault="00FF2893" w:rsidP="00FF2893">
      <w:pPr>
        <w:rPr>
          <w:b/>
        </w:rPr>
      </w:pPr>
      <w:r w:rsidRPr="00FF2893">
        <w:rPr>
          <w:b/>
          <w:noProof/>
        </w:rPr>
        <w:lastRenderedPageBreak/>
        <w:drawing>
          <wp:inline distT="0" distB="0" distL="0" distR="0" wp14:anchorId="33865DE3" wp14:editId="54C4483B">
            <wp:extent cx="7581898" cy="56864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95445" cy="5696585"/>
                    </a:xfrm>
                    <a:prstGeom prst="rect">
                      <a:avLst/>
                    </a:prstGeom>
                  </pic:spPr>
                </pic:pic>
              </a:graphicData>
            </a:graphic>
          </wp:inline>
        </w:drawing>
      </w:r>
    </w:p>
    <w:p w14:paraId="3B00A8F7" w14:textId="076E2303" w:rsidR="00C74336" w:rsidRDefault="00FF2893" w:rsidP="00C74336">
      <w:pPr>
        <w:rPr>
          <w:b/>
        </w:rPr>
      </w:pPr>
      <w:r>
        <w:rPr>
          <w:b/>
        </w:rPr>
        <w:lastRenderedPageBreak/>
        <w:t>APPENDIX B</w:t>
      </w:r>
      <w:r w:rsidR="000F231F" w:rsidRPr="000F231F">
        <w:rPr>
          <w:b/>
        </w:rPr>
        <w:t xml:space="preserve">. Pre-/Post-CRISP Analysis for the Elder Medical Care Services Program </w:t>
      </w:r>
    </w:p>
    <w:p w14:paraId="21C0D8AB" w14:textId="154F1E1C" w:rsidR="000F231F" w:rsidRPr="000F231F" w:rsidRDefault="000F231F" w:rsidP="00C74336">
      <w:pPr>
        <w:rPr>
          <w:b/>
        </w:rPr>
      </w:pPr>
      <w:r>
        <w:rPr>
          <w:noProof/>
        </w:rPr>
        <w:drawing>
          <wp:inline distT="0" distB="0" distL="0" distR="0" wp14:anchorId="38F5635F" wp14:editId="6F36DE92">
            <wp:extent cx="7927450" cy="5461957"/>
            <wp:effectExtent l="0" t="0" r="0" b="5715"/>
            <wp:docPr id="1" name="Picture 1" descr="cid:image006.png@01D44918.4BB45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D44918.4BB458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942737" cy="5472490"/>
                    </a:xfrm>
                    <a:prstGeom prst="rect">
                      <a:avLst/>
                    </a:prstGeom>
                    <a:noFill/>
                    <a:ln>
                      <a:noFill/>
                    </a:ln>
                  </pic:spPr>
                </pic:pic>
              </a:graphicData>
            </a:graphic>
          </wp:inline>
        </w:drawing>
      </w:r>
    </w:p>
    <w:sectPr w:rsidR="000F231F" w:rsidRPr="000F231F" w:rsidSect="000F231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893AE" w14:textId="77777777" w:rsidR="0064198B" w:rsidRDefault="0064198B" w:rsidP="007B52B7">
      <w:pPr>
        <w:spacing w:after="0" w:line="240" w:lineRule="auto"/>
      </w:pPr>
      <w:r>
        <w:separator/>
      </w:r>
    </w:p>
  </w:endnote>
  <w:endnote w:type="continuationSeparator" w:id="0">
    <w:p w14:paraId="6CB8DCA0" w14:textId="77777777" w:rsidR="0064198B" w:rsidRDefault="0064198B" w:rsidP="007B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690308"/>
      <w:docPartObj>
        <w:docPartGallery w:val="Page Numbers (Bottom of Page)"/>
        <w:docPartUnique/>
      </w:docPartObj>
    </w:sdtPr>
    <w:sdtEndPr>
      <w:rPr>
        <w:noProof/>
      </w:rPr>
    </w:sdtEndPr>
    <w:sdtContent>
      <w:p w14:paraId="2CA0C3B6" w14:textId="4BE2FF73" w:rsidR="00187D23" w:rsidRDefault="00187D23">
        <w:pPr>
          <w:pStyle w:val="Footer"/>
          <w:jc w:val="right"/>
        </w:pPr>
        <w:r>
          <w:fldChar w:fldCharType="begin"/>
        </w:r>
        <w:r>
          <w:instrText xml:space="preserve"> PAGE   \* MERGEFORMAT </w:instrText>
        </w:r>
        <w:r>
          <w:fldChar w:fldCharType="separate"/>
        </w:r>
        <w:r w:rsidR="00D012E5">
          <w:rPr>
            <w:noProof/>
          </w:rPr>
          <w:t>18</w:t>
        </w:r>
        <w:r>
          <w:rPr>
            <w:noProof/>
          </w:rPr>
          <w:fldChar w:fldCharType="end"/>
        </w:r>
      </w:p>
    </w:sdtContent>
  </w:sdt>
  <w:p w14:paraId="33FBD05A" w14:textId="77777777" w:rsidR="00187D23" w:rsidRDefault="00187D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347ED" w14:textId="77777777" w:rsidR="0064198B" w:rsidRDefault="0064198B" w:rsidP="007B52B7">
      <w:pPr>
        <w:spacing w:after="0" w:line="240" w:lineRule="auto"/>
      </w:pPr>
      <w:r>
        <w:separator/>
      </w:r>
    </w:p>
  </w:footnote>
  <w:footnote w:type="continuationSeparator" w:id="0">
    <w:p w14:paraId="7F591E0C" w14:textId="77777777" w:rsidR="0064198B" w:rsidRDefault="0064198B" w:rsidP="007B5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06162" w14:textId="7191CAC8" w:rsidR="00187D23" w:rsidRDefault="00187D23">
    <w:pPr>
      <w:pStyle w:val="Header"/>
    </w:pPr>
    <w:r>
      <w:t>HSCRC Transformation Grant – Performance Year 2 (FY 2018) Report - FINAL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6A75"/>
    <w:multiLevelType w:val="hybridMultilevel"/>
    <w:tmpl w:val="1D5A81BA"/>
    <w:lvl w:ilvl="0" w:tplc="9B64B6FA">
      <w:start w:val="9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E2E1B"/>
    <w:multiLevelType w:val="hybridMultilevel"/>
    <w:tmpl w:val="F3A4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1487F"/>
    <w:multiLevelType w:val="hybridMultilevel"/>
    <w:tmpl w:val="1ECCD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788516D"/>
    <w:multiLevelType w:val="hybridMultilevel"/>
    <w:tmpl w:val="EF4A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F0725"/>
    <w:multiLevelType w:val="hybridMultilevel"/>
    <w:tmpl w:val="9D64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55375"/>
    <w:multiLevelType w:val="hybridMultilevel"/>
    <w:tmpl w:val="D928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94DE7"/>
    <w:multiLevelType w:val="hybridMultilevel"/>
    <w:tmpl w:val="9CB8C0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F6574B"/>
    <w:multiLevelType w:val="hybridMultilevel"/>
    <w:tmpl w:val="F7F0385A"/>
    <w:lvl w:ilvl="0" w:tplc="B3426F5E">
      <w:start w:val="9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61FB7"/>
    <w:multiLevelType w:val="hybridMultilevel"/>
    <w:tmpl w:val="C9204418"/>
    <w:lvl w:ilvl="0" w:tplc="96409832">
      <w:start w:val="1"/>
      <w:numFmt w:val="bullet"/>
      <w:lvlText w:val=""/>
      <w:lvlJc w:val="left"/>
      <w:pPr>
        <w:ind w:left="820" w:hanging="360"/>
      </w:pPr>
      <w:rPr>
        <w:rFonts w:ascii="Symbol" w:hAnsi="Symbol" w:hint="default"/>
        <w:color w:val="auto"/>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427D6DFA"/>
    <w:multiLevelType w:val="hybridMultilevel"/>
    <w:tmpl w:val="E8DCCC64"/>
    <w:lvl w:ilvl="0" w:tplc="7446222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C2514"/>
    <w:multiLevelType w:val="hybridMultilevel"/>
    <w:tmpl w:val="83EEBA54"/>
    <w:lvl w:ilvl="0" w:tplc="8876BC4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73F70"/>
    <w:multiLevelType w:val="hybridMultilevel"/>
    <w:tmpl w:val="81C0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079EF"/>
    <w:multiLevelType w:val="hybridMultilevel"/>
    <w:tmpl w:val="DA64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740EA"/>
    <w:multiLevelType w:val="hybridMultilevel"/>
    <w:tmpl w:val="3FA0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9"/>
  </w:num>
  <w:num w:numId="6">
    <w:abstractNumId w:val="12"/>
  </w:num>
  <w:num w:numId="7">
    <w:abstractNumId w:val="10"/>
  </w:num>
  <w:num w:numId="8">
    <w:abstractNumId w:val="13"/>
  </w:num>
  <w:num w:numId="9">
    <w:abstractNumId w:val="11"/>
  </w:num>
  <w:num w:numId="10">
    <w:abstractNumId w:val="6"/>
  </w:num>
  <w:num w:numId="11">
    <w:abstractNumId w:val="8"/>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B7"/>
    <w:rsid w:val="000075DB"/>
    <w:rsid w:val="00007E8A"/>
    <w:rsid w:val="000416A6"/>
    <w:rsid w:val="00047939"/>
    <w:rsid w:val="000524E7"/>
    <w:rsid w:val="00094D3D"/>
    <w:rsid w:val="00095C97"/>
    <w:rsid w:val="000A645D"/>
    <w:rsid w:val="000B115A"/>
    <w:rsid w:val="000B63DF"/>
    <w:rsid w:val="000D0468"/>
    <w:rsid w:val="000F231F"/>
    <w:rsid w:val="000F4C13"/>
    <w:rsid w:val="001062B6"/>
    <w:rsid w:val="0012525F"/>
    <w:rsid w:val="00172A07"/>
    <w:rsid w:val="00187D23"/>
    <w:rsid w:val="00191EEC"/>
    <w:rsid w:val="00203B7E"/>
    <w:rsid w:val="00226F84"/>
    <w:rsid w:val="002870F5"/>
    <w:rsid w:val="002E25DB"/>
    <w:rsid w:val="002E4E6E"/>
    <w:rsid w:val="00317E2F"/>
    <w:rsid w:val="00321F9A"/>
    <w:rsid w:val="00336C53"/>
    <w:rsid w:val="00356F4F"/>
    <w:rsid w:val="00394CB3"/>
    <w:rsid w:val="00395128"/>
    <w:rsid w:val="003B7B44"/>
    <w:rsid w:val="003D0377"/>
    <w:rsid w:val="00426B38"/>
    <w:rsid w:val="004324F5"/>
    <w:rsid w:val="004B786C"/>
    <w:rsid w:val="004E2FD9"/>
    <w:rsid w:val="004E678C"/>
    <w:rsid w:val="004F02D7"/>
    <w:rsid w:val="00512B90"/>
    <w:rsid w:val="00521CA3"/>
    <w:rsid w:val="00540AE4"/>
    <w:rsid w:val="0057058F"/>
    <w:rsid w:val="005733DE"/>
    <w:rsid w:val="005A134D"/>
    <w:rsid w:val="005B4FB8"/>
    <w:rsid w:val="005B7F1A"/>
    <w:rsid w:val="005D1CC8"/>
    <w:rsid w:val="005F10F5"/>
    <w:rsid w:val="005F2691"/>
    <w:rsid w:val="005F6E88"/>
    <w:rsid w:val="0064198B"/>
    <w:rsid w:val="00654948"/>
    <w:rsid w:val="00667EC1"/>
    <w:rsid w:val="006E4743"/>
    <w:rsid w:val="00727F12"/>
    <w:rsid w:val="0073374D"/>
    <w:rsid w:val="00734941"/>
    <w:rsid w:val="0077115B"/>
    <w:rsid w:val="0077713E"/>
    <w:rsid w:val="00780853"/>
    <w:rsid w:val="00794949"/>
    <w:rsid w:val="007B52B7"/>
    <w:rsid w:val="008046F5"/>
    <w:rsid w:val="008106A3"/>
    <w:rsid w:val="00850F70"/>
    <w:rsid w:val="00862326"/>
    <w:rsid w:val="00885602"/>
    <w:rsid w:val="008954BB"/>
    <w:rsid w:val="008E1997"/>
    <w:rsid w:val="00903AA3"/>
    <w:rsid w:val="00923B95"/>
    <w:rsid w:val="0093566B"/>
    <w:rsid w:val="00980F67"/>
    <w:rsid w:val="009826A8"/>
    <w:rsid w:val="0098710D"/>
    <w:rsid w:val="009A0C00"/>
    <w:rsid w:val="009B45D4"/>
    <w:rsid w:val="009C7A37"/>
    <w:rsid w:val="009E0AC2"/>
    <w:rsid w:val="00A46492"/>
    <w:rsid w:val="00A56C0D"/>
    <w:rsid w:val="00A6022E"/>
    <w:rsid w:val="00A74C12"/>
    <w:rsid w:val="00B24A6C"/>
    <w:rsid w:val="00B40F65"/>
    <w:rsid w:val="00B62DBF"/>
    <w:rsid w:val="00B70060"/>
    <w:rsid w:val="00B77836"/>
    <w:rsid w:val="00B97488"/>
    <w:rsid w:val="00BC4133"/>
    <w:rsid w:val="00BE7035"/>
    <w:rsid w:val="00C03BC0"/>
    <w:rsid w:val="00C14FD2"/>
    <w:rsid w:val="00C24123"/>
    <w:rsid w:val="00C3307D"/>
    <w:rsid w:val="00C5063E"/>
    <w:rsid w:val="00C643E8"/>
    <w:rsid w:val="00C671D9"/>
    <w:rsid w:val="00C74336"/>
    <w:rsid w:val="00CC534F"/>
    <w:rsid w:val="00D012E5"/>
    <w:rsid w:val="00D02142"/>
    <w:rsid w:val="00D02E12"/>
    <w:rsid w:val="00D7692C"/>
    <w:rsid w:val="00D76E1D"/>
    <w:rsid w:val="00D93EB9"/>
    <w:rsid w:val="00D945DA"/>
    <w:rsid w:val="00D97EFF"/>
    <w:rsid w:val="00E1021E"/>
    <w:rsid w:val="00E138EE"/>
    <w:rsid w:val="00E425BA"/>
    <w:rsid w:val="00E54B91"/>
    <w:rsid w:val="00ED511D"/>
    <w:rsid w:val="00EF4726"/>
    <w:rsid w:val="00F06190"/>
    <w:rsid w:val="00F41C1A"/>
    <w:rsid w:val="00F41C1F"/>
    <w:rsid w:val="00F43692"/>
    <w:rsid w:val="00F74029"/>
    <w:rsid w:val="00F75178"/>
    <w:rsid w:val="00F81319"/>
    <w:rsid w:val="00FB3E79"/>
    <w:rsid w:val="00FC0DB2"/>
    <w:rsid w:val="00FE5DFD"/>
    <w:rsid w:val="00FF2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912D9"/>
  <w15:chartTrackingRefBased/>
  <w15:docId w15:val="{AB2F1A79-717D-433F-BD0C-29A39917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2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37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2B7"/>
  </w:style>
  <w:style w:type="paragraph" w:styleId="Footer">
    <w:name w:val="footer"/>
    <w:basedOn w:val="Normal"/>
    <w:link w:val="FooterChar"/>
    <w:uiPriority w:val="99"/>
    <w:unhideWhenUsed/>
    <w:rsid w:val="007B5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2B7"/>
  </w:style>
  <w:style w:type="paragraph" w:styleId="ListParagraph">
    <w:name w:val="List Paragraph"/>
    <w:basedOn w:val="Normal"/>
    <w:link w:val="ListParagraphChar"/>
    <w:uiPriority w:val="34"/>
    <w:qFormat/>
    <w:rsid w:val="007B52B7"/>
    <w:pPr>
      <w:ind w:left="720"/>
      <w:contextualSpacing/>
    </w:pPr>
  </w:style>
  <w:style w:type="character" w:styleId="CommentReference">
    <w:name w:val="annotation reference"/>
    <w:basedOn w:val="DefaultParagraphFont"/>
    <w:uiPriority w:val="99"/>
    <w:semiHidden/>
    <w:unhideWhenUsed/>
    <w:rsid w:val="007B52B7"/>
    <w:rPr>
      <w:sz w:val="16"/>
      <w:szCs w:val="16"/>
    </w:rPr>
  </w:style>
  <w:style w:type="paragraph" w:styleId="CommentText">
    <w:name w:val="annotation text"/>
    <w:basedOn w:val="Normal"/>
    <w:link w:val="CommentTextChar"/>
    <w:uiPriority w:val="99"/>
    <w:semiHidden/>
    <w:unhideWhenUsed/>
    <w:rsid w:val="007B52B7"/>
    <w:pPr>
      <w:spacing w:line="240" w:lineRule="auto"/>
    </w:pPr>
    <w:rPr>
      <w:sz w:val="20"/>
      <w:szCs w:val="20"/>
    </w:rPr>
  </w:style>
  <w:style w:type="character" w:customStyle="1" w:styleId="CommentTextChar">
    <w:name w:val="Comment Text Char"/>
    <w:basedOn w:val="DefaultParagraphFont"/>
    <w:link w:val="CommentText"/>
    <w:uiPriority w:val="99"/>
    <w:semiHidden/>
    <w:rsid w:val="007B52B7"/>
    <w:rPr>
      <w:sz w:val="20"/>
      <w:szCs w:val="20"/>
    </w:rPr>
  </w:style>
  <w:style w:type="paragraph" w:styleId="CommentSubject">
    <w:name w:val="annotation subject"/>
    <w:basedOn w:val="CommentText"/>
    <w:next w:val="CommentText"/>
    <w:link w:val="CommentSubjectChar"/>
    <w:uiPriority w:val="99"/>
    <w:semiHidden/>
    <w:unhideWhenUsed/>
    <w:rsid w:val="007B52B7"/>
    <w:rPr>
      <w:b/>
      <w:bCs/>
    </w:rPr>
  </w:style>
  <w:style w:type="character" w:customStyle="1" w:styleId="CommentSubjectChar">
    <w:name w:val="Comment Subject Char"/>
    <w:basedOn w:val="CommentTextChar"/>
    <w:link w:val="CommentSubject"/>
    <w:uiPriority w:val="99"/>
    <w:semiHidden/>
    <w:rsid w:val="007B52B7"/>
    <w:rPr>
      <w:b/>
      <w:bCs/>
      <w:sz w:val="20"/>
      <w:szCs w:val="20"/>
    </w:rPr>
  </w:style>
  <w:style w:type="paragraph" w:styleId="BalloonText">
    <w:name w:val="Balloon Text"/>
    <w:basedOn w:val="Normal"/>
    <w:link w:val="BalloonTextChar"/>
    <w:uiPriority w:val="99"/>
    <w:semiHidden/>
    <w:unhideWhenUsed/>
    <w:rsid w:val="007B5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B7"/>
    <w:rPr>
      <w:rFonts w:ascii="Segoe UI" w:hAnsi="Segoe UI" w:cs="Segoe UI"/>
      <w:sz w:val="18"/>
      <w:szCs w:val="18"/>
    </w:rPr>
  </w:style>
  <w:style w:type="character" w:customStyle="1" w:styleId="Heading1Char">
    <w:name w:val="Heading 1 Char"/>
    <w:basedOn w:val="DefaultParagraphFont"/>
    <w:link w:val="Heading1"/>
    <w:uiPriority w:val="9"/>
    <w:rsid w:val="007B52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374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F47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72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F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F47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EF47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4726"/>
    <w:rPr>
      <w:rFonts w:eastAsiaTheme="minorEastAsia"/>
      <w:color w:val="5A5A5A" w:themeColor="text1" w:themeTint="A5"/>
      <w:spacing w:val="15"/>
    </w:rPr>
  </w:style>
  <w:style w:type="table" w:styleId="PlainTable4">
    <w:name w:val="Plain Table 4"/>
    <w:basedOn w:val="TableNormal"/>
    <w:uiPriority w:val="44"/>
    <w:rsid w:val="008623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C671D9"/>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71D9"/>
    <w:rPr>
      <w:rFonts w:ascii="Times New Roman" w:eastAsia="Times New Roman" w:hAnsi="Times New Roman"/>
      <w:sz w:val="24"/>
      <w:szCs w:val="24"/>
    </w:rPr>
  </w:style>
  <w:style w:type="paragraph" w:customStyle="1" w:styleId="TableParagraph">
    <w:name w:val="Table Paragraph"/>
    <w:basedOn w:val="Normal"/>
    <w:uiPriority w:val="1"/>
    <w:qFormat/>
    <w:rsid w:val="00B77836"/>
    <w:pPr>
      <w:widowControl w:val="0"/>
      <w:spacing w:after="0" w:line="240" w:lineRule="auto"/>
    </w:pPr>
  </w:style>
  <w:style w:type="character" w:customStyle="1" w:styleId="ListParagraphChar">
    <w:name w:val="List Paragraph Char"/>
    <w:basedOn w:val="DefaultParagraphFont"/>
    <w:link w:val="ListParagraph"/>
    <w:uiPriority w:val="34"/>
    <w:rsid w:val="00B77836"/>
  </w:style>
  <w:style w:type="paragraph" w:styleId="Revision">
    <w:name w:val="Revision"/>
    <w:hidden/>
    <w:uiPriority w:val="99"/>
    <w:semiHidden/>
    <w:rsid w:val="001252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95817">
      <w:bodyDiv w:val="1"/>
      <w:marLeft w:val="0"/>
      <w:marRight w:val="0"/>
      <w:marTop w:val="0"/>
      <w:marBottom w:val="0"/>
      <w:divBdr>
        <w:top w:val="none" w:sz="0" w:space="0" w:color="auto"/>
        <w:left w:val="none" w:sz="0" w:space="0" w:color="auto"/>
        <w:bottom w:val="none" w:sz="0" w:space="0" w:color="auto"/>
        <w:right w:val="none" w:sz="0" w:space="0" w:color="auto"/>
      </w:divBdr>
    </w:div>
    <w:div w:id="657926581">
      <w:bodyDiv w:val="1"/>
      <w:marLeft w:val="0"/>
      <w:marRight w:val="0"/>
      <w:marTop w:val="0"/>
      <w:marBottom w:val="0"/>
      <w:divBdr>
        <w:top w:val="none" w:sz="0" w:space="0" w:color="auto"/>
        <w:left w:val="none" w:sz="0" w:space="0" w:color="auto"/>
        <w:bottom w:val="none" w:sz="0" w:space="0" w:color="auto"/>
        <w:right w:val="none" w:sz="0" w:space="0" w:color="auto"/>
      </w:divBdr>
    </w:div>
    <w:div w:id="724916169">
      <w:bodyDiv w:val="1"/>
      <w:marLeft w:val="0"/>
      <w:marRight w:val="0"/>
      <w:marTop w:val="0"/>
      <w:marBottom w:val="0"/>
      <w:divBdr>
        <w:top w:val="none" w:sz="0" w:space="0" w:color="auto"/>
        <w:left w:val="none" w:sz="0" w:space="0" w:color="auto"/>
        <w:bottom w:val="none" w:sz="0" w:space="0" w:color="auto"/>
        <w:right w:val="none" w:sz="0" w:space="0" w:color="auto"/>
      </w:divBdr>
    </w:div>
    <w:div w:id="949895344">
      <w:bodyDiv w:val="1"/>
      <w:marLeft w:val="0"/>
      <w:marRight w:val="0"/>
      <w:marTop w:val="0"/>
      <w:marBottom w:val="0"/>
      <w:divBdr>
        <w:top w:val="none" w:sz="0" w:space="0" w:color="auto"/>
        <w:left w:val="none" w:sz="0" w:space="0" w:color="auto"/>
        <w:bottom w:val="none" w:sz="0" w:space="0" w:color="auto"/>
        <w:right w:val="none" w:sz="0" w:space="0" w:color="auto"/>
      </w:divBdr>
    </w:div>
    <w:div w:id="1018460153">
      <w:bodyDiv w:val="1"/>
      <w:marLeft w:val="0"/>
      <w:marRight w:val="0"/>
      <w:marTop w:val="0"/>
      <w:marBottom w:val="0"/>
      <w:divBdr>
        <w:top w:val="none" w:sz="0" w:space="0" w:color="auto"/>
        <w:left w:val="none" w:sz="0" w:space="0" w:color="auto"/>
        <w:bottom w:val="none" w:sz="0" w:space="0" w:color="auto"/>
        <w:right w:val="none" w:sz="0" w:space="0" w:color="auto"/>
      </w:divBdr>
    </w:div>
    <w:div w:id="1196968771">
      <w:bodyDiv w:val="1"/>
      <w:marLeft w:val="0"/>
      <w:marRight w:val="0"/>
      <w:marTop w:val="0"/>
      <w:marBottom w:val="0"/>
      <w:divBdr>
        <w:top w:val="none" w:sz="0" w:space="0" w:color="auto"/>
        <w:left w:val="none" w:sz="0" w:space="0" w:color="auto"/>
        <w:bottom w:val="none" w:sz="0" w:space="0" w:color="auto"/>
        <w:right w:val="none" w:sz="0" w:space="0" w:color="auto"/>
      </w:divBdr>
    </w:div>
    <w:div w:id="1213271862">
      <w:bodyDiv w:val="1"/>
      <w:marLeft w:val="0"/>
      <w:marRight w:val="0"/>
      <w:marTop w:val="0"/>
      <w:marBottom w:val="0"/>
      <w:divBdr>
        <w:top w:val="none" w:sz="0" w:space="0" w:color="auto"/>
        <w:left w:val="none" w:sz="0" w:space="0" w:color="auto"/>
        <w:bottom w:val="none" w:sz="0" w:space="0" w:color="auto"/>
        <w:right w:val="none" w:sz="0" w:space="0" w:color="auto"/>
      </w:divBdr>
    </w:div>
    <w:div w:id="1243024095">
      <w:bodyDiv w:val="1"/>
      <w:marLeft w:val="0"/>
      <w:marRight w:val="0"/>
      <w:marTop w:val="0"/>
      <w:marBottom w:val="0"/>
      <w:divBdr>
        <w:top w:val="none" w:sz="0" w:space="0" w:color="auto"/>
        <w:left w:val="none" w:sz="0" w:space="0" w:color="auto"/>
        <w:bottom w:val="none" w:sz="0" w:space="0" w:color="auto"/>
        <w:right w:val="none" w:sz="0" w:space="0" w:color="auto"/>
      </w:divBdr>
    </w:div>
    <w:div w:id="1514493343">
      <w:bodyDiv w:val="1"/>
      <w:marLeft w:val="0"/>
      <w:marRight w:val="0"/>
      <w:marTop w:val="0"/>
      <w:marBottom w:val="0"/>
      <w:divBdr>
        <w:top w:val="none" w:sz="0" w:space="0" w:color="auto"/>
        <w:left w:val="none" w:sz="0" w:space="0" w:color="auto"/>
        <w:bottom w:val="none" w:sz="0" w:space="0" w:color="auto"/>
        <w:right w:val="none" w:sz="0" w:space="0" w:color="auto"/>
      </w:divBdr>
    </w:div>
    <w:div w:id="213381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cid:image006.png@01D44918.4BB45820"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674553-6214-4645-A6D6-231EE2BA1BF0}"/>
</file>

<file path=customXml/itemProps2.xml><?xml version="1.0" encoding="utf-8"?>
<ds:datastoreItem xmlns:ds="http://schemas.openxmlformats.org/officeDocument/2006/customXml" ds:itemID="{18AC7060-F1AE-40EC-A13B-FA8B42F4A0E7}"/>
</file>

<file path=customXml/itemProps3.xml><?xml version="1.0" encoding="utf-8"?>
<ds:datastoreItem xmlns:ds="http://schemas.openxmlformats.org/officeDocument/2006/customXml" ds:itemID="{C80739DF-0845-44C1-9318-F05D2AE135B8}"/>
</file>

<file path=customXml/itemProps4.xml><?xml version="1.0" encoding="utf-8"?>
<ds:datastoreItem xmlns:ds="http://schemas.openxmlformats.org/officeDocument/2006/customXml" ds:itemID="{560C0923-42F2-45AA-BC46-9F10A9D72B48}"/>
</file>

<file path=docProps/app.xml><?xml version="1.0" encoding="utf-8"?>
<Properties xmlns="http://schemas.openxmlformats.org/officeDocument/2006/extended-properties" xmlns:vt="http://schemas.openxmlformats.org/officeDocument/2006/docPropsVTypes">
  <Template>Normal</Template>
  <TotalTime>34</TotalTime>
  <Pages>18</Pages>
  <Words>4227</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Zumbrum</dc:creator>
  <cp:keywords/>
  <dc:description/>
  <cp:lastModifiedBy>Sarah Fogler</cp:lastModifiedBy>
  <cp:revision>3</cp:revision>
  <cp:lastPrinted>2018-09-11T14:39:00Z</cp:lastPrinted>
  <dcterms:created xsi:type="dcterms:W3CDTF">2018-09-13T16:28:00Z</dcterms:created>
  <dcterms:modified xsi:type="dcterms:W3CDTF">2018-09-14T13:23:00Z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